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3E097" w14:textId="77777777" w:rsidR="0063563E" w:rsidRPr="005A7418" w:rsidRDefault="0063563E" w:rsidP="0063563E">
      <w:pPr>
        <w:jc w:val="center"/>
        <w:rPr>
          <w:b/>
          <w:bCs/>
          <w:sz w:val="26"/>
          <w:szCs w:val="26"/>
        </w:rPr>
      </w:pPr>
      <w:r w:rsidRPr="005A7418">
        <w:rPr>
          <w:b/>
          <w:bCs/>
          <w:sz w:val="26"/>
          <w:szCs w:val="26"/>
        </w:rPr>
        <w:t>World Leadership Dialogues</w:t>
      </w:r>
    </w:p>
    <w:p w14:paraId="2B4C4307" w14:textId="77777777" w:rsidR="00DB25E8" w:rsidRPr="00500C68" w:rsidRDefault="00EE45C5" w:rsidP="00D95770">
      <w:pPr>
        <w:spacing w:after="120" w:line="240" w:lineRule="auto"/>
        <w:rPr>
          <w:i/>
          <w:iCs/>
          <w:color w:val="808080" w:themeColor="background1" w:themeShade="80"/>
          <w:u w:val="single"/>
        </w:rPr>
      </w:pPr>
      <w:r w:rsidRPr="00500C68">
        <w:rPr>
          <w:i/>
          <w:iCs/>
          <w:color w:val="808080" w:themeColor="background1" w:themeShade="80"/>
          <w:u w:val="single"/>
        </w:rPr>
        <w:t>Title of the World Leadership Dialogue</w:t>
      </w:r>
    </w:p>
    <w:p w14:paraId="77D2ED6F" w14:textId="71A16D1F" w:rsidR="00744FB5" w:rsidRPr="005A6548" w:rsidRDefault="006816C5" w:rsidP="00D95770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F922E1">
        <w:rPr>
          <w:b/>
          <w:bCs/>
          <w:sz w:val="28"/>
          <w:szCs w:val="28"/>
        </w:rPr>
        <w:t xml:space="preserve">alling for </w:t>
      </w:r>
      <w:r w:rsidR="007C3EA6">
        <w:rPr>
          <w:b/>
          <w:bCs/>
          <w:sz w:val="28"/>
          <w:szCs w:val="28"/>
        </w:rPr>
        <w:t xml:space="preserve">multidisciplinary </w:t>
      </w:r>
      <w:r w:rsidR="00D474A9">
        <w:rPr>
          <w:b/>
          <w:bCs/>
          <w:sz w:val="28"/>
          <w:szCs w:val="28"/>
        </w:rPr>
        <w:t xml:space="preserve">action </w:t>
      </w:r>
      <w:r w:rsidR="00744FB5" w:rsidRPr="005A6548">
        <w:rPr>
          <w:b/>
          <w:bCs/>
          <w:sz w:val="28"/>
          <w:szCs w:val="28"/>
        </w:rPr>
        <w:t>to</w:t>
      </w:r>
      <w:r w:rsidR="00141489">
        <w:rPr>
          <w:b/>
          <w:bCs/>
          <w:sz w:val="28"/>
          <w:szCs w:val="28"/>
        </w:rPr>
        <w:t>ward</w:t>
      </w:r>
      <w:r w:rsidR="00744FB5" w:rsidRPr="005A6548">
        <w:rPr>
          <w:b/>
          <w:bCs/>
          <w:sz w:val="28"/>
          <w:szCs w:val="28"/>
        </w:rPr>
        <w:t xml:space="preserve"> “vaccination throughout life”</w:t>
      </w:r>
    </w:p>
    <w:p w14:paraId="619F66C4" w14:textId="4BB224B5" w:rsidR="0063563E" w:rsidRPr="00500C68" w:rsidRDefault="005D3CFB" w:rsidP="00D95770">
      <w:pPr>
        <w:spacing w:after="120" w:line="240" w:lineRule="auto"/>
        <w:rPr>
          <w:i/>
          <w:iCs/>
          <w:color w:val="808080" w:themeColor="background1" w:themeShade="80"/>
          <w:u w:val="single"/>
        </w:rPr>
      </w:pPr>
      <w:r w:rsidRPr="00500C68">
        <w:rPr>
          <w:i/>
          <w:iCs/>
          <w:color w:val="808080" w:themeColor="background1" w:themeShade="80"/>
          <w:u w:val="single"/>
        </w:rPr>
        <w:t>O</w:t>
      </w:r>
      <w:r w:rsidR="00EE45C5" w:rsidRPr="00500C68">
        <w:rPr>
          <w:i/>
          <w:iCs/>
          <w:color w:val="808080" w:themeColor="background1" w:themeShade="80"/>
          <w:u w:val="single"/>
        </w:rPr>
        <w:t>rganiser of the WLD</w:t>
      </w:r>
    </w:p>
    <w:p w14:paraId="23C10A4F" w14:textId="4DB091E0" w:rsidR="005D3CFB" w:rsidRPr="002E4820" w:rsidRDefault="00DB25E8" w:rsidP="00DF5604">
      <w:pPr>
        <w:spacing w:after="120" w:line="240" w:lineRule="auto"/>
        <w:jc w:val="both"/>
      </w:pPr>
      <w:r w:rsidRPr="002E4820">
        <w:t>I</w:t>
      </w:r>
      <w:r w:rsidR="005D3CFB" w:rsidRPr="002E4820">
        <w:t xml:space="preserve">mmunisation </w:t>
      </w:r>
      <w:proofErr w:type="gramStart"/>
      <w:r w:rsidR="006F418A">
        <w:t>F</w:t>
      </w:r>
      <w:r w:rsidR="006F418A" w:rsidRPr="002E4820">
        <w:t>or</w:t>
      </w:r>
      <w:proofErr w:type="gramEnd"/>
      <w:r w:rsidR="005D3CFB" w:rsidRPr="002E4820">
        <w:t xml:space="preserve"> All Ages</w:t>
      </w:r>
      <w:r w:rsidR="00D53A02">
        <w:t xml:space="preserve"> Initiative</w:t>
      </w:r>
      <w:r w:rsidR="00D95D69">
        <w:t xml:space="preserve"> (IFAA)</w:t>
      </w:r>
    </w:p>
    <w:p w14:paraId="4937B475" w14:textId="6A73182D" w:rsidR="00DB25E8" w:rsidRPr="002E4820" w:rsidRDefault="005D3CFB" w:rsidP="00DF5604">
      <w:pPr>
        <w:spacing w:after="120" w:line="240" w:lineRule="auto"/>
        <w:ind w:left="720"/>
        <w:jc w:val="both"/>
      </w:pPr>
      <w:r w:rsidRPr="002E4820">
        <w:rPr>
          <w:rFonts w:cstheme="minorHAnsi"/>
        </w:rPr>
        <w:t>I</w:t>
      </w:r>
      <w:r w:rsidR="00DB25E8" w:rsidRPr="002E4820">
        <w:rPr>
          <w:rFonts w:cstheme="minorHAnsi"/>
        </w:rPr>
        <w:t>nternational Federation on Ageing</w:t>
      </w:r>
      <w:r w:rsidR="009F68A4">
        <w:rPr>
          <w:rFonts w:cstheme="minorHAnsi"/>
        </w:rPr>
        <w:t xml:space="preserve">, </w:t>
      </w:r>
      <w:r w:rsidR="00DB25E8" w:rsidRPr="002E4820">
        <w:rPr>
          <w:rFonts w:cstheme="minorHAnsi"/>
        </w:rPr>
        <w:t>Shot</w:t>
      </w:r>
      <w:r w:rsidRPr="002E4820">
        <w:rPr>
          <w:rFonts w:cstheme="minorHAnsi"/>
        </w:rPr>
        <w:t>@</w:t>
      </w:r>
      <w:r w:rsidR="00DB25E8" w:rsidRPr="002E4820">
        <w:rPr>
          <w:rFonts w:cstheme="minorHAnsi"/>
        </w:rPr>
        <w:t>Life</w:t>
      </w:r>
      <w:r w:rsidRPr="002E4820">
        <w:rPr>
          <w:rFonts w:cstheme="minorHAnsi"/>
        </w:rPr>
        <w:t>, International Longevity Centre (ILC) UK</w:t>
      </w:r>
      <w:r w:rsidR="00D95770">
        <w:rPr>
          <w:rFonts w:cstheme="minorHAnsi"/>
        </w:rPr>
        <w:t>,</w:t>
      </w:r>
      <w:r w:rsidRPr="002E4820">
        <w:rPr>
          <w:rFonts w:cstheme="minorHAnsi"/>
        </w:rPr>
        <w:t xml:space="preserve"> </w:t>
      </w:r>
      <w:r w:rsidRPr="002E4820">
        <w:rPr>
          <w:rFonts w:cstheme="minorHAnsi"/>
          <w:shd w:val="clear" w:color="auto" w:fill="FFFFFF"/>
        </w:rPr>
        <w:t xml:space="preserve">Confederation of </w:t>
      </w:r>
      <w:r w:rsidRPr="002E4820">
        <w:rPr>
          <w:rStyle w:val="Emphasis"/>
          <w:rFonts w:cstheme="minorHAnsi"/>
          <w:i w:val="0"/>
          <w:iCs w:val="0"/>
          <w:shd w:val="clear" w:color="auto" w:fill="FFFFFF"/>
        </w:rPr>
        <w:t>Meningitis</w:t>
      </w:r>
      <w:r w:rsidRPr="002E4820">
        <w:rPr>
          <w:rFonts w:cstheme="minorHAnsi"/>
          <w:shd w:val="clear" w:color="auto" w:fill="FFFFFF"/>
        </w:rPr>
        <w:t xml:space="preserve"> Organisations (COMO)</w:t>
      </w:r>
      <w:r w:rsidR="00D95770">
        <w:rPr>
          <w:rFonts w:cstheme="minorHAnsi"/>
          <w:shd w:val="clear" w:color="auto" w:fill="FFFFFF"/>
        </w:rPr>
        <w:t>,</w:t>
      </w:r>
      <w:r w:rsidRPr="002E4820">
        <w:rPr>
          <w:rFonts w:cstheme="minorHAnsi"/>
          <w:shd w:val="clear" w:color="auto" w:fill="FFFFFF"/>
        </w:rPr>
        <w:t xml:space="preserve"> </w:t>
      </w:r>
      <w:r w:rsidR="00D95770">
        <w:rPr>
          <w:rFonts w:cstheme="minorHAnsi"/>
          <w:shd w:val="clear" w:color="auto" w:fill="FFFFFF"/>
        </w:rPr>
        <w:t xml:space="preserve">and the </w:t>
      </w:r>
      <w:r w:rsidRPr="002E4820">
        <w:rPr>
          <w:rFonts w:cstheme="minorHAnsi"/>
          <w:shd w:val="clear" w:color="auto" w:fill="FFFFFF"/>
        </w:rPr>
        <w:t>International Pharmaceutical Federation (FIP)</w:t>
      </w:r>
      <w:r w:rsidR="00D95770">
        <w:rPr>
          <w:rFonts w:cstheme="minorHAnsi"/>
          <w:shd w:val="clear" w:color="auto" w:fill="FFFFFF"/>
        </w:rPr>
        <w:t xml:space="preserve">.  </w:t>
      </w:r>
    </w:p>
    <w:p w14:paraId="2DBD523F" w14:textId="165169C5" w:rsidR="0063563E" w:rsidRDefault="00EE45C5" w:rsidP="00D95770">
      <w:pPr>
        <w:spacing w:after="120" w:line="240" w:lineRule="auto"/>
      </w:pPr>
      <w:r w:rsidRPr="00500C68">
        <w:rPr>
          <w:i/>
          <w:iCs/>
          <w:color w:val="808080" w:themeColor="background1" w:themeShade="80"/>
        </w:rPr>
        <w:t>E-mail contact</w:t>
      </w:r>
      <w:r w:rsidR="00571402">
        <w:t xml:space="preserve">: </w:t>
      </w:r>
      <w:r w:rsidR="00A15E6B">
        <w:t>jbarratt@ifa.ngo</w:t>
      </w:r>
      <w:r w:rsidR="009A5A54">
        <w:t xml:space="preserve"> </w:t>
      </w:r>
    </w:p>
    <w:p w14:paraId="4173001E" w14:textId="0217E8E9" w:rsidR="00CF20F5" w:rsidRPr="00500C68" w:rsidRDefault="00EE45C5" w:rsidP="00D95770">
      <w:pPr>
        <w:spacing w:after="120" w:line="240" w:lineRule="auto"/>
        <w:rPr>
          <w:i/>
          <w:iCs/>
          <w:color w:val="808080" w:themeColor="background1" w:themeShade="80"/>
          <w:u w:val="single"/>
        </w:rPr>
      </w:pPr>
      <w:r w:rsidRPr="00500C68">
        <w:rPr>
          <w:i/>
          <w:iCs/>
          <w:color w:val="808080" w:themeColor="background1" w:themeShade="80"/>
          <w:u w:val="single"/>
        </w:rPr>
        <w:t xml:space="preserve">Background </w:t>
      </w:r>
      <w:r w:rsidR="00CF20F5" w:rsidRPr="00500C68">
        <w:rPr>
          <w:i/>
          <w:iCs/>
          <w:color w:val="808080" w:themeColor="background1" w:themeShade="80"/>
          <w:u w:val="single"/>
        </w:rPr>
        <w:t>(400 words)</w:t>
      </w:r>
    </w:p>
    <w:p w14:paraId="23C547D7" w14:textId="22509211" w:rsidR="00F03452" w:rsidRPr="002E4820" w:rsidRDefault="009A5A54" w:rsidP="00D95770">
      <w:pPr>
        <w:spacing w:after="120" w:line="240" w:lineRule="auto"/>
        <w:jc w:val="both"/>
        <w:rPr>
          <w:rFonts w:cstheme="minorHAnsi"/>
        </w:rPr>
      </w:pPr>
      <w:r w:rsidRPr="002E4820">
        <w:rPr>
          <w:rFonts w:cstheme="minorHAnsi"/>
        </w:rPr>
        <w:t xml:space="preserve">Vaccination </w:t>
      </w:r>
      <w:r w:rsidR="007F6B7E">
        <w:rPr>
          <w:rFonts w:cstheme="minorHAnsi"/>
        </w:rPr>
        <w:t>a</w:t>
      </w:r>
      <w:r w:rsidRPr="002E4820">
        <w:rPr>
          <w:rFonts w:cstheme="minorHAnsi"/>
        </w:rPr>
        <w:t xml:space="preserve">s </w:t>
      </w:r>
      <w:r w:rsidR="00F03452" w:rsidRPr="002E4820">
        <w:rPr>
          <w:rFonts w:cstheme="minorHAnsi"/>
        </w:rPr>
        <w:t xml:space="preserve">one of the </w:t>
      </w:r>
      <w:r w:rsidRPr="002E4820">
        <w:rPr>
          <w:rFonts w:cstheme="minorHAnsi"/>
        </w:rPr>
        <w:t xml:space="preserve">most important </w:t>
      </w:r>
      <w:r w:rsidR="00F03452" w:rsidRPr="002E4820">
        <w:rPr>
          <w:rFonts w:cstheme="minorHAnsi"/>
        </w:rPr>
        <w:t xml:space="preserve">cost-effective </w:t>
      </w:r>
      <w:r w:rsidR="00500C68" w:rsidRPr="002E4820">
        <w:rPr>
          <w:rFonts w:cstheme="minorHAnsi"/>
        </w:rPr>
        <w:t xml:space="preserve">public </w:t>
      </w:r>
      <w:r w:rsidRPr="002E4820">
        <w:rPr>
          <w:rFonts w:cstheme="minorHAnsi"/>
        </w:rPr>
        <w:t xml:space="preserve">health interventions, with a traditional focus on children, is both underutilized and undervalued.  </w:t>
      </w:r>
      <w:r w:rsidR="00F03452" w:rsidRPr="002E4820">
        <w:rPr>
          <w:rFonts w:cstheme="minorHAnsi"/>
        </w:rPr>
        <w:t>While t</w:t>
      </w:r>
      <w:r w:rsidR="00500C68" w:rsidRPr="002E4820">
        <w:rPr>
          <w:rFonts w:cstheme="minorHAnsi"/>
        </w:rPr>
        <w:t xml:space="preserve">here is a solid understanding of the current global policy environment regarding the health, </w:t>
      </w:r>
      <w:r w:rsidR="003C569E">
        <w:rPr>
          <w:rFonts w:cstheme="minorHAnsi"/>
        </w:rPr>
        <w:t xml:space="preserve">and </w:t>
      </w:r>
      <w:r w:rsidR="00500C68" w:rsidRPr="002E4820">
        <w:rPr>
          <w:rFonts w:cstheme="minorHAnsi"/>
        </w:rPr>
        <w:t xml:space="preserve">social and economic benefits of vaccines </w:t>
      </w:r>
      <w:r w:rsidR="00F03452" w:rsidRPr="002E4820">
        <w:rPr>
          <w:rFonts w:cstheme="minorHAnsi"/>
        </w:rPr>
        <w:t xml:space="preserve">there are </w:t>
      </w:r>
      <w:r w:rsidR="00500C68" w:rsidRPr="002E4820">
        <w:rPr>
          <w:rFonts w:cstheme="minorHAnsi"/>
        </w:rPr>
        <w:t>serious inequities within and across countries relat</w:t>
      </w:r>
      <w:r w:rsidR="00C63E97">
        <w:rPr>
          <w:rFonts w:cstheme="minorHAnsi"/>
        </w:rPr>
        <w:t>ed</w:t>
      </w:r>
      <w:r w:rsidR="00500C68" w:rsidRPr="002E4820">
        <w:rPr>
          <w:rFonts w:cstheme="minorHAnsi"/>
        </w:rPr>
        <w:t xml:space="preserve"> to optimal use of vaccines throughout each stage of life.  </w:t>
      </w:r>
    </w:p>
    <w:p w14:paraId="164453D1" w14:textId="5BBE4E38" w:rsidR="001E56EF" w:rsidRPr="002E4820" w:rsidRDefault="001E56EF" w:rsidP="00D95770">
      <w:pPr>
        <w:spacing w:after="120" w:line="240" w:lineRule="auto"/>
        <w:jc w:val="both"/>
        <w:rPr>
          <w:rFonts w:cstheme="minorHAnsi"/>
          <w:shd w:val="clear" w:color="auto" w:fill="FFFFFF"/>
        </w:rPr>
      </w:pPr>
      <w:r w:rsidRPr="00D474A9">
        <w:rPr>
          <w:rFonts w:cstheme="minorHAnsi"/>
          <w:shd w:val="clear" w:color="auto" w:fill="FFFFFF"/>
        </w:rPr>
        <w:t>The barriers to improving uptake rates of vaccination are well known yet the single most important group of trusted advisors, i.e. public health professionals remain</w:t>
      </w:r>
      <w:r w:rsidR="007F6B7E">
        <w:rPr>
          <w:rFonts w:cstheme="minorHAnsi"/>
          <w:shd w:val="clear" w:color="auto" w:fill="FFFFFF"/>
        </w:rPr>
        <w:t>s</w:t>
      </w:r>
      <w:r w:rsidRPr="00D474A9">
        <w:rPr>
          <w:rFonts w:cstheme="minorHAnsi"/>
          <w:shd w:val="clear" w:color="auto" w:fill="FFFFFF"/>
        </w:rPr>
        <w:t xml:space="preserve"> relatively silent</w:t>
      </w:r>
      <w:r w:rsidR="007F6B7E">
        <w:rPr>
          <w:rFonts w:cstheme="minorHAnsi"/>
          <w:shd w:val="clear" w:color="auto" w:fill="FFFFFF"/>
        </w:rPr>
        <w:t xml:space="preserve"> </w:t>
      </w:r>
      <w:r w:rsidRPr="00D474A9">
        <w:rPr>
          <w:rFonts w:cstheme="minorHAnsi"/>
          <w:shd w:val="clear" w:color="auto" w:fill="FFFFFF"/>
        </w:rPr>
        <w:t xml:space="preserve">in the national and global dialogue.  This Congress speaks of the </w:t>
      </w:r>
      <w:r w:rsidR="002E4820" w:rsidRPr="00D474A9">
        <w:rPr>
          <w:rFonts w:cstheme="minorHAnsi"/>
          <w:shd w:val="clear" w:color="auto" w:fill="FFFFFF"/>
        </w:rPr>
        <w:t>“</w:t>
      </w:r>
      <w:r w:rsidRPr="00D474A9">
        <w:rPr>
          <w:rFonts w:cstheme="minorHAnsi"/>
          <w:shd w:val="clear" w:color="auto" w:fill="FFFFFF"/>
        </w:rPr>
        <w:t>very survival of humanity</w:t>
      </w:r>
      <w:r w:rsidR="002E4820" w:rsidRPr="00D474A9">
        <w:rPr>
          <w:rFonts w:cstheme="minorHAnsi"/>
          <w:shd w:val="clear" w:color="auto" w:fill="FFFFFF"/>
        </w:rPr>
        <w:t>”</w:t>
      </w:r>
      <w:r w:rsidRPr="00D474A9">
        <w:rPr>
          <w:rFonts w:cstheme="minorHAnsi"/>
          <w:shd w:val="clear" w:color="auto" w:fill="FFFFFF"/>
        </w:rPr>
        <w:t xml:space="preserve"> being at risk </w:t>
      </w:r>
      <w:r w:rsidR="002E4820" w:rsidRPr="00D474A9">
        <w:rPr>
          <w:rFonts w:cstheme="minorHAnsi"/>
          <w:shd w:val="clear" w:color="auto" w:fill="FFFFFF"/>
        </w:rPr>
        <w:t>and</w:t>
      </w:r>
      <w:r w:rsidRPr="00D474A9">
        <w:rPr>
          <w:rFonts w:cstheme="minorHAnsi"/>
          <w:shd w:val="clear" w:color="auto" w:fill="FFFFFF"/>
        </w:rPr>
        <w:t xml:space="preserve"> aligns with the World Health Organization</w:t>
      </w:r>
      <w:r w:rsidR="002E4820" w:rsidRPr="00D474A9">
        <w:rPr>
          <w:rFonts w:cstheme="minorHAnsi"/>
          <w:shd w:val="clear" w:color="auto" w:fill="FFFFFF"/>
        </w:rPr>
        <w:t>’</w:t>
      </w:r>
      <w:r w:rsidRPr="00D474A9">
        <w:rPr>
          <w:rFonts w:cstheme="minorHAnsi"/>
          <w:shd w:val="clear" w:color="auto" w:fill="FFFFFF"/>
        </w:rPr>
        <w:t>s (WHO) ten threats to global health</w:t>
      </w:r>
      <w:r w:rsidR="00D474A9">
        <w:rPr>
          <w:rFonts w:cstheme="minorHAnsi"/>
          <w:shd w:val="clear" w:color="auto" w:fill="FFFFFF"/>
        </w:rPr>
        <w:t xml:space="preserve"> </w:t>
      </w:r>
      <w:r w:rsidR="00E256BB" w:rsidRPr="002E4820">
        <w:rPr>
          <w:rFonts w:cstheme="minorHAnsi"/>
          <w:shd w:val="clear" w:color="auto" w:fill="FFFFFF"/>
        </w:rPr>
        <w:t xml:space="preserve">all of which </w:t>
      </w:r>
      <w:r w:rsidR="002E4820" w:rsidRPr="002E4820">
        <w:rPr>
          <w:rFonts w:cstheme="minorHAnsi"/>
          <w:shd w:val="clear" w:color="auto" w:fill="FFFFFF"/>
        </w:rPr>
        <w:t xml:space="preserve">are </w:t>
      </w:r>
      <w:r w:rsidR="00E256BB" w:rsidRPr="002E4820">
        <w:rPr>
          <w:rFonts w:cstheme="minorHAnsi"/>
          <w:shd w:val="clear" w:color="auto" w:fill="FFFFFF"/>
        </w:rPr>
        <w:t xml:space="preserve">directly or indirectly </w:t>
      </w:r>
      <w:r w:rsidR="002E4820" w:rsidRPr="002E4820">
        <w:rPr>
          <w:rFonts w:cstheme="minorHAnsi"/>
          <w:shd w:val="clear" w:color="auto" w:fill="FFFFFF"/>
        </w:rPr>
        <w:t xml:space="preserve">linked to vaccine preventable diseases in sometimes poorly resourced countries and inadequate and unstable health systems.  </w:t>
      </w:r>
    </w:p>
    <w:p w14:paraId="0258796C" w14:textId="729B3805" w:rsidR="00D474A9" w:rsidRPr="00D474A9" w:rsidRDefault="00215A78" w:rsidP="00D9577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I</w:t>
      </w:r>
      <w:r w:rsidR="00D474A9" w:rsidRPr="00D474A9">
        <w:rPr>
          <w:rFonts w:cstheme="minorHAnsi"/>
          <w:color w:val="222222"/>
          <w:shd w:val="clear" w:color="auto" w:fill="FFFFFF"/>
        </w:rPr>
        <w:t xml:space="preserve">mmediate </w:t>
      </w:r>
      <w:r>
        <w:rPr>
          <w:rFonts w:cstheme="minorHAnsi"/>
          <w:color w:val="222222"/>
          <w:shd w:val="clear" w:color="auto" w:fill="FFFFFF"/>
        </w:rPr>
        <w:t xml:space="preserve">and urgent </w:t>
      </w:r>
      <w:r w:rsidR="00D474A9" w:rsidRPr="00D474A9">
        <w:rPr>
          <w:rFonts w:cstheme="minorHAnsi"/>
          <w:color w:val="222222"/>
          <w:shd w:val="clear" w:color="auto" w:fill="FFFFFF"/>
        </w:rPr>
        <w:t xml:space="preserve">action </w:t>
      </w:r>
      <w:r>
        <w:rPr>
          <w:rFonts w:cstheme="minorHAnsi"/>
          <w:color w:val="222222"/>
          <w:shd w:val="clear" w:color="auto" w:fill="FFFFFF"/>
        </w:rPr>
        <w:t>is called for by public health l</w:t>
      </w:r>
      <w:r w:rsidRPr="00D474A9">
        <w:rPr>
          <w:rFonts w:cstheme="minorHAnsi"/>
        </w:rPr>
        <w:t xml:space="preserve">eadership </w:t>
      </w:r>
      <w:r>
        <w:rPr>
          <w:rFonts w:cstheme="minorHAnsi"/>
        </w:rPr>
        <w:t xml:space="preserve">to </w:t>
      </w:r>
      <w:r w:rsidR="007C1647">
        <w:rPr>
          <w:rFonts w:cstheme="minorHAnsi"/>
        </w:rPr>
        <w:t>use</w:t>
      </w:r>
      <w:r w:rsidR="00FA4409">
        <w:rPr>
          <w:rFonts w:cstheme="minorHAnsi"/>
        </w:rPr>
        <w:t xml:space="preserve"> a</w:t>
      </w:r>
      <w:r>
        <w:rPr>
          <w:rFonts w:cstheme="minorHAnsi"/>
        </w:rPr>
        <w:t xml:space="preserve"> multi</w:t>
      </w:r>
      <w:r w:rsidRPr="00D474A9">
        <w:rPr>
          <w:rFonts w:cstheme="minorHAnsi"/>
        </w:rPr>
        <w:t>disciplin</w:t>
      </w:r>
      <w:r w:rsidR="00FA4409">
        <w:rPr>
          <w:rFonts w:cstheme="minorHAnsi"/>
        </w:rPr>
        <w:t>ary</w:t>
      </w:r>
      <w:r w:rsidRPr="00D474A9">
        <w:rPr>
          <w:rFonts w:cstheme="minorHAnsi"/>
        </w:rPr>
        <w:t xml:space="preserve"> and </w:t>
      </w:r>
      <w:r>
        <w:rPr>
          <w:rFonts w:cstheme="minorHAnsi"/>
        </w:rPr>
        <w:t>multi</w:t>
      </w:r>
      <w:r w:rsidRPr="00D474A9">
        <w:rPr>
          <w:rFonts w:cstheme="minorHAnsi"/>
        </w:rPr>
        <w:t>sector</w:t>
      </w:r>
      <w:r w:rsidR="00FA4409">
        <w:rPr>
          <w:rFonts w:cstheme="minorHAnsi"/>
        </w:rPr>
        <w:t xml:space="preserve">al approach </w:t>
      </w:r>
      <w:r w:rsidR="00D474A9" w:rsidRPr="00D474A9">
        <w:rPr>
          <w:rFonts w:cstheme="minorHAnsi"/>
        </w:rPr>
        <w:t>to</w:t>
      </w:r>
      <w:r w:rsidR="00E82A0D">
        <w:rPr>
          <w:rFonts w:cstheme="minorHAnsi"/>
        </w:rPr>
        <w:t>:</w:t>
      </w:r>
      <w:r w:rsidR="00D474A9" w:rsidRPr="00D474A9">
        <w:rPr>
          <w:rFonts w:cstheme="minorHAnsi"/>
        </w:rPr>
        <w:t xml:space="preserve"> prioritise </w:t>
      </w:r>
      <w:r w:rsidR="00F015EC">
        <w:rPr>
          <w:rFonts w:cstheme="minorHAnsi"/>
        </w:rPr>
        <w:t>vaccination</w:t>
      </w:r>
      <w:r w:rsidR="00D474A9" w:rsidRPr="00D474A9">
        <w:rPr>
          <w:rFonts w:cstheme="minorHAnsi"/>
        </w:rPr>
        <w:t xml:space="preserve"> throughout life as a key pillar of expanded prevention strategies and as a central component of universal health coverage</w:t>
      </w:r>
      <w:r w:rsidR="00F015EC">
        <w:rPr>
          <w:rFonts w:cstheme="minorHAnsi"/>
        </w:rPr>
        <w:t>;</w:t>
      </w:r>
      <w:r w:rsidR="00E82A0D">
        <w:rPr>
          <w:rFonts w:cstheme="minorHAnsi"/>
        </w:rPr>
        <w:t xml:space="preserve"> </w:t>
      </w:r>
      <w:r w:rsidR="007F6B7E">
        <w:rPr>
          <w:bCs/>
        </w:rPr>
        <w:t>r</w:t>
      </w:r>
      <w:r w:rsidR="00E82A0D" w:rsidRPr="00E82A0D">
        <w:rPr>
          <w:bCs/>
        </w:rPr>
        <w:t xml:space="preserve">emove barriers to access for appropriate immunisation throughout life to ensure people are protected and no one is left behind; and, </w:t>
      </w:r>
      <w:r w:rsidR="00F015EC">
        <w:rPr>
          <w:bCs/>
        </w:rPr>
        <w:t xml:space="preserve">to </w:t>
      </w:r>
      <w:r w:rsidR="00E82A0D" w:rsidRPr="00E82A0D">
        <w:rPr>
          <w:bCs/>
        </w:rPr>
        <w:t>reduce inequality for timely, appropriate and affordable access to immunisation throughout life.</w:t>
      </w:r>
      <w:r w:rsidR="00E82A0D">
        <w:rPr>
          <w:b/>
        </w:rPr>
        <w:t xml:space="preserve">  </w:t>
      </w:r>
    </w:p>
    <w:p w14:paraId="012812B0" w14:textId="3C2A6637" w:rsidR="007C1647" w:rsidRDefault="00E82A0D" w:rsidP="00D9577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This World Leadership Dialogue </w:t>
      </w:r>
      <w:r w:rsidR="00661910">
        <w:rPr>
          <w:rFonts w:cstheme="minorHAnsi"/>
        </w:rPr>
        <w:t xml:space="preserve">(WLD) </w:t>
      </w:r>
      <w:r>
        <w:rPr>
          <w:rFonts w:cstheme="minorHAnsi"/>
        </w:rPr>
        <w:t xml:space="preserve">brings together thought leaders </w:t>
      </w:r>
      <w:r w:rsidR="00FC57EF">
        <w:rPr>
          <w:rFonts w:cstheme="minorHAnsi"/>
        </w:rPr>
        <w:t xml:space="preserve">in ageing, vaccination, non-communicable </w:t>
      </w:r>
      <w:proofErr w:type="gramStart"/>
      <w:r w:rsidR="00FC57EF">
        <w:rPr>
          <w:rFonts w:cstheme="minorHAnsi"/>
        </w:rPr>
        <w:t>diseases</w:t>
      </w:r>
      <w:proofErr w:type="gramEnd"/>
      <w:r w:rsidR="00FC57EF">
        <w:rPr>
          <w:rFonts w:cstheme="minorHAnsi"/>
        </w:rPr>
        <w:t xml:space="preserve"> and health economics to distill the scientific and public health evidence and </w:t>
      </w:r>
      <w:r w:rsidR="00404C29">
        <w:rPr>
          <w:rFonts w:cstheme="minorHAnsi"/>
        </w:rPr>
        <w:t xml:space="preserve">good </w:t>
      </w:r>
      <w:r w:rsidR="00FC57EF">
        <w:rPr>
          <w:rFonts w:cstheme="minorHAnsi"/>
        </w:rPr>
        <w:t>practice</w:t>
      </w:r>
      <w:r w:rsidR="00404C29">
        <w:rPr>
          <w:rFonts w:cstheme="minorHAnsi"/>
        </w:rPr>
        <w:t>s</w:t>
      </w:r>
      <w:r w:rsidR="00FC57EF">
        <w:rPr>
          <w:rFonts w:cstheme="minorHAnsi"/>
        </w:rPr>
        <w:t xml:space="preserve"> into knowledge assets and action.  Special attention will be given to </w:t>
      </w:r>
      <w:r w:rsidR="00B91425">
        <w:rPr>
          <w:rFonts w:cstheme="minorHAnsi"/>
        </w:rPr>
        <w:t xml:space="preserve">deliberating </w:t>
      </w:r>
      <w:r w:rsidR="007F6B7E">
        <w:rPr>
          <w:bCs/>
        </w:rPr>
        <w:t>vaccination</w:t>
      </w:r>
      <w:r w:rsidR="00FC57EF" w:rsidRPr="00FC57EF">
        <w:rPr>
          <w:bCs/>
        </w:rPr>
        <w:t xml:space="preserve"> schedules </w:t>
      </w:r>
      <w:r w:rsidR="007F6B7E">
        <w:rPr>
          <w:bCs/>
        </w:rPr>
        <w:t xml:space="preserve">and practices </w:t>
      </w:r>
      <w:r w:rsidR="00FC57EF" w:rsidRPr="00FC57EF">
        <w:rPr>
          <w:bCs/>
        </w:rPr>
        <w:t>through the lens of gender, culture, rural</w:t>
      </w:r>
      <w:r w:rsidR="007F6B7E">
        <w:rPr>
          <w:bCs/>
        </w:rPr>
        <w:t xml:space="preserve">, </w:t>
      </w:r>
      <w:r w:rsidR="00FC57EF" w:rsidRPr="00FC57EF">
        <w:rPr>
          <w:bCs/>
        </w:rPr>
        <w:t>urban</w:t>
      </w:r>
      <w:r w:rsidR="007F6B7E">
        <w:rPr>
          <w:bCs/>
        </w:rPr>
        <w:t>,</w:t>
      </w:r>
      <w:r w:rsidR="00FC57EF" w:rsidRPr="00FC57EF">
        <w:rPr>
          <w:bCs/>
        </w:rPr>
        <w:t xml:space="preserve"> marginalised and </w:t>
      </w:r>
      <w:r w:rsidR="00404C29">
        <w:rPr>
          <w:bCs/>
        </w:rPr>
        <w:t xml:space="preserve">the most </w:t>
      </w:r>
      <w:r w:rsidR="00FC57EF" w:rsidRPr="00FC57EF">
        <w:rPr>
          <w:bCs/>
        </w:rPr>
        <w:t>vulnerable populations</w:t>
      </w:r>
      <w:r w:rsidR="00404C29">
        <w:rPr>
          <w:bCs/>
        </w:rPr>
        <w:t xml:space="preserve">.  </w:t>
      </w:r>
    </w:p>
    <w:p w14:paraId="1F597F15" w14:textId="51E8DACE" w:rsidR="00676C93" w:rsidRPr="00364095" w:rsidRDefault="00661910" w:rsidP="00D9577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This moderated multidisciplinary panel of </w:t>
      </w:r>
      <w:r w:rsidR="00676C93">
        <w:rPr>
          <w:rFonts w:cstheme="minorHAnsi"/>
        </w:rPr>
        <w:t xml:space="preserve">thought leaders </w:t>
      </w:r>
      <w:r>
        <w:rPr>
          <w:rFonts w:cstheme="minorHAnsi"/>
        </w:rPr>
        <w:t xml:space="preserve">will set the scene for the </w:t>
      </w:r>
      <w:r w:rsidR="00676C93">
        <w:rPr>
          <w:rFonts w:cstheme="minorHAnsi"/>
        </w:rPr>
        <w:t>leadership dialogue presenting statements of evidence following by a focussed question</w:t>
      </w:r>
      <w:r w:rsidR="007F6B7E">
        <w:rPr>
          <w:rFonts w:cstheme="minorHAnsi"/>
        </w:rPr>
        <w:t>-</w:t>
      </w:r>
      <w:r w:rsidR="00676C93">
        <w:rPr>
          <w:rFonts w:cstheme="minorHAnsi"/>
        </w:rPr>
        <w:t>led policy discussion.  The body of knowledge</w:t>
      </w:r>
      <w:r w:rsidR="00364095">
        <w:rPr>
          <w:rFonts w:cstheme="minorHAnsi"/>
        </w:rPr>
        <w:t>,</w:t>
      </w:r>
      <w:r w:rsidR="00676C93">
        <w:rPr>
          <w:rFonts w:cstheme="minorHAnsi"/>
        </w:rPr>
        <w:t xml:space="preserve"> </w:t>
      </w:r>
      <w:proofErr w:type="gramStart"/>
      <w:r w:rsidR="00676C93">
        <w:t>experiences</w:t>
      </w:r>
      <w:proofErr w:type="gramEnd"/>
      <w:r w:rsidR="00676C93">
        <w:t xml:space="preserve"> and local intelligence on the status of global adult vaccines policy</w:t>
      </w:r>
      <w:r w:rsidR="00364095">
        <w:t xml:space="preserve"> communicated in this session aims to stimulate unified action from the WPHA and public health professionals.  </w:t>
      </w:r>
    </w:p>
    <w:p w14:paraId="3E1084DB" w14:textId="77777777" w:rsidR="005F6BF1" w:rsidRDefault="005F6BF1" w:rsidP="00D95770">
      <w:pPr>
        <w:spacing w:after="120" w:line="240" w:lineRule="auto"/>
        <w:rPr>
          <w:i/>
          <w:iCs/>
          <w:color w:val="808080" w:themeColor="background1" w:themeShade="80"/>
          <w:u w:val="single"/>
        </w:rPr>
      </w:pPr>
    </w:p>
    <w:p w14:paraId="2714252C" w14:textId="5E107E02" w:rsidR="005F6BF1" w:rsidRDefault="005F6BF1" w:rsidP="00D95770">
      <w:pPr>
        <w:spacing w:after="120" w:line="240" w:lineRule="auto"/>
        <w:rPr>
          <w:i/>
          <w:iCs/>
          <w:color w:val="808080" w:themeColor="background1" w:themeShade="80"/>
          <w:u w:val="single"/>
        </w:rPr>
      </w:pPr>
    </w:p>
    <w:p w14:paraId="39BF09F0" w14:textId="41A02EA9" w:rsidR="007F6B7E" w:rsidRDefault="007F6B7E" w:rsidP="00D95770">
      <w:pPr>
        <w:spacing w:after="120" w:line="240" w:lineRule="auto"/>
        <w:rPr>
          <w:i/>
          <w:iCs/>
          <w:color w:val="808080" w:themeColor="background1" w:themeShade="80"/>
          <w:u w:val="single"/>
        </w:rPr>
      </w:pPr>
    </w:p>
    <w:p w14:paraId="392AEBB4" w14:textId="77777777" w:rsidR="00404C29" w:rsidRDefault="00404C29" w:rsidP="00D95770">
      <w:pPr>
        <w:spacing w:after="120" w:line="240" w:lineRule="auto"/>
        <w:rPr>
          <w:i/>
          <w:iCs/>
          <w:color w:val="808080" w:themeColor="background1" w:themeShade="80"/>
          <w:u w:val="single"/>
        </w:rPr>
      </w:pPr>
    </w:p>
    <w:p w14:paraId="75C7ECE3" w14:textId="04D6D584" w:rsidR="00CF20F5" w:rsidRPr="00F03452" w:rsidRDefault="00EE45C5" w:rsidP="00D264B5">
      <w:pPr>
        <w:spacing w:after="120" w:line="240" w:lineRule="auto"/>
        <w:jc w:val="both"/>
        <w:rPr>
          <w:i/>
          <w:iCs/>
          <w:color w:val="808080" w:themeColor="background1" w:themeShade="80"/>
          <w:u w:val="single"/>
        </w:rPr>
      </w:pPr>
      <w:r w:rsidRPr="00F03452">
        <w:rPr>
          <w:i/>
          <w:iCs/>
          <w:color w:val="808080" w:themeColor="background1" w:themeShade="80"/>
          <w:u w:val="single"/>
        </w:rPr>
        <w:lastRenderedPageBreak/>
        <w:t xml:space="preserve">Objectives </w:t>
      </w:r>
    </w:p>
    <w:p w14:paraId="59642795" w14:textId="6310F020" w:rsidR="005F6BF1" w:rsidRPr="00AD44BA" w:rsidRDefault="005F6BF1" w:rsidP="00D264B5">
      <w:pPr>
        <w:spacing w:after="120" w:line="240" w:lineRule="auto"/>
        <w:jc w:val="both"/>
        <w:rPr>
          <w:i/>
          <w:iCs/>
        </w:rPr>
      </w:pPr>
      <w:bookmarkStart w:id="0" w:name="_Hlk27041347"/>
      <w:r w:rsidRPr="00514F17">
        <w:rPr>
          <w:rFonts w:cstheme="minorHAnsi"/>
          <w:bCs/>
        </w:rPr>
        <w:t xml:space="preserve">The </w:t>
      </w:r>
      <w:r w:rsidR="00404C29">
        <w:rPr>
          <w:rFonts w:cstheme="minorHAnsi"/>
          <w:bCs/>
        </w:rPr>
        <w:t xml:space="preserve">goal </w:t>
      </w:r>
      <w:r w:rsidRPr="00514F17">
        <w:rPr>
          <w:rFonts w:cstheme="minorHAnsi"/>
          <w:bCs/>
        </w:rPr>
        <w:t xml:space="preserve">of the WLD </w:t>
      </w:r>
      <w:r w:rsidR="00AD44BA">
        <w:rPr>
          <w:rFonts w:cstheme="minorHAnsi"/>
          <w:bCs/>
        </w:rPr>
        <w:t xml:space="preserve">entitled </w:t>
      </w:r>
      <w:r w:rsidR="00AD44BA" w:rsidRPr="00AD44BA">
        <w:rPr>
          <w:i/>
          <w:iCs/>
        </w:rPr>
        <w:t>Collective multidisciplinary action to deliver “vaccination throughout life”</w:t>
      </w:r>
      <w:r w:rsidR="00C76977">
        <w:rPr>
          <w:i/>
          <w:iCs/>
        </w:rPr>
        <w:t xml:space="preserve"> </w:t>
      </w:r>
      <w:r w:rsidRPr="00514F17">
        <w:rPr>
          <w:rFonts w:cstheme="minorHAnsi"/>
          <w:bCs/>
        </w:rPr>
        <w:t>is to make the case for public heath professionals to be leaders in the fight to improve uptake rates of vaccination.  Participants will learn</w:t>
      </w:r>
      <w:r w:rsidR="00514F17" w:rsidRPr="00514F17">
        <w:rPr>
          <w:rFonts w:cstheme="minorHAnsi"/>
          <w:bCs/>
        </w:rPr>
        <w:t xml:space="preserve"> </w:t>
      </w:r>
      <w:r w:rsidR="00C76977">
        <w:rPr>
          <w:rFonts w:cstheme="minorHAnsi"/>
          <w:bCs/>
        </w:rPr>
        <w:t>of</w:t>
      </w:r>
      <w:r w:rsidR="00514F17" w:rsidRPr="00514F17">
        <w:rPr>
          <w:rFonts w:cstheme="minorHAnsi"/>
          <w:bCs/>
        </w:rPr>
        <w:t xml:space="preserve"> the</w:t>
      </w:r>
      <w:r w:rsidRPr="00514F17">
        <w:rPr>
          <w:rFonts w:cstheme="minorHAnsi"/>
          <w:bCs/>
        </w:rPr>
        <w:t>:</w:t>
      </w:r>
    </w:p>
    <w:p w14:paraId="297BD9EE" w14:textId="56FC8231" w:rsidR="00514F17" w:rsidRDefault="00D175F7" w:rsidP="00D264B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Cs/>
        </w:rPr>
      </w:pPr>
      <w:r>
        <w:rPr>
          <w:bCs/>
        </w:rPr>
        <w:t xml:space="preserve">Shocking facts </w:t>
      </w:r>
      <w:r w:rsidR="00007B05">
        <w:rPr>
          <w:bCs/>
        </w:rPr>
        <w:t xml:space="preserve">and consequences </w:t>
      </w:r>
      <w:r w:rsidR="00D31C27">
        <w:rPr>
          <w:bCs/>
        </w:rPr>
        <w:t xml:space="preserve">of vaccine preventable diseases </w:t>
      </w:r>
      <w:r w:rsidR="00C76977">
        <w:rPr>
          <w:bCs/>
        </w:rPr>
        <w:t xml:space="preserve">alongside the </w:t>
      </w:r>
      <w:r w:rsidR="00A21924">
        <w:rPr>
          <w:bCs/>
        </w:rPr>
        <w:t>natural and man-made barriers to chang</w:t>
      </w:r>
      <w:r w:rsidR="00C76977">
        <w:rPr>
          <w:bCs/>
        </w:rPr>
        <w:t>ing</w:t>
      </w:r>
      <w:r w:rsidR="00A21924">
        <w:rPr>
          <w:bCs/>
        </w:rPr>
        <w:t xml:space="preserve"> the status quo</w:t>
      </w:r>
    </w:p>
    <w:p w14:paraId="1BC16A1A" w14:textId="39396FB1" w:rsidR="00A21924" w:rsidRPr="009D57F1" w:rsidRDefault="00D264B5" w:rsidP="00D264B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Cs/>
        </w:rPr>
      </w:pPr>
      <w:r>
        <w:rPr>
          <w:rFonts w:cstheme="minorHAnsi"/>
          <w:bCs/>
        </w:rPr>
        <w:t>“</w:t>
      </w:r>
      <w:r w:rsidR="00A21924">
        <w:rPr>
          <w:rFonts w:cstheme="minorHAnsi"/>
          <w:bCs/>
        </w:rPr>
        <w:t>I</w:t>
      </w:r>
      <w:r w:rsidR="00A21924" w:rsidRPr="009D57F1">
        <w:rPr>
          <w:rFonts w:cstheme="minorHAnsi"/>
          <w:bCs/>
        </w:rPr>
        <w:t xml:space="preserve">nvestment </w:t>
      </w:r>
      <w:r w:rsidR="00374BD9">
        <w:rPr>
          <w:rFonts w:cstheme="minorHAnsi"/>
          <w:bCs/>
        </w:rPr>
        <w:t>-</w:t>
      </w:r>
      <w:r w:rsidR="00A21924" w:rsidRPr="009D57F1">
        <w:rPr>
          <w:rFonts w:cstheme="minorHAnsi"/>
          <w:bCs/>
        </w:rPr>
        <w:t xml:space="preserve"> equity - health and social impact</w:t>
      </w:r>
      <w:r>
        <w:rPr>
          <w:rFonts w:cstheme="minorHAnsi"/>
          <w:bCs/>
        </w:rPr>
        <w:t>”</w:t>
      </w:r>
      <w:r w:rsidR="00A21924" w:rsidRPr="009D57F1">
        <w:rPr>
          <w:rFonts w:cstheme="minorHAnsi"/>
          <w:bCs/>
        </w:rPr>
        <w:t xml:space="preserve"> challenge</w:t>
      </w:r>
      <w:r>
        <w:rPr>
          <w:rFonts w:cstheme="minorHAnsi"/>
          <w:bCs/>
        </w:rPr>
        <w:t>s</w:t>
      </w:r>
      <w:r w:rsidR="00A21924" w:rsidRPr="009D57F1">
        <w:rPr>
          <w:rFonts w:cstheme="minorHAnsi"/>
          <w:bCs/>
        </w:rPr>
        <w:t xml:space="preserve"> </w:t>
      </w:r>
      <w:r w:rsidR="00A21924">
        <w:rPr>
          <w:rFonts w:cstheme="minorHAnsi"/>
          <w:bCs/>
        </w:rPr>
        <w:t xml:space="preserve">of </w:t>
      </w:r>
      <w:r w:rsidR="00A21924" w:rsidRPr="009D57F1">
        <w:rPr>
          <w:rFonts w:cstheme="minorHAnsi"/>
          <w:bCs/>
        </w:rPr>
        <w:t xml:space="preserve">vaccination throughout life </w:t>
      </w:r>
    </w:p>
    <w:p w14:paraId="06C4E36A" w14:textId="355946EE" w:rsidR="00514F17" w:rsidRDefault="00254F45" w:rsidP="00D264B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Cs/>
        </w:rPr>
      </w:pPr>
      <w:r>
        <w:rPr>
          <w:bCs/>
        </w:rPr>
        <w:t xml:space="preserve">Rationale for </w:t>
      </w:r>
      <w:r w:rsidR="00D264B5">
        <w:rPr>
          <w:bCs/>
        </w:rPr>
        <w:t>urgent</w:t>
      </w:r>
      <w:r>
        <w:rPr>
          <w:bCs/>
        </w:rPr>
        <w:t xml:space="preserve"> attention on </w:t>
      </w:r>
      <w:r w:rsidR="00875C80">
        <w:rPr>
          <w:bCs/>
        </w:rPr>
        <w:t xml:space="preserve">vaccinating </w:t>
      </w:r>
      <w:r w:rsidR="00514F17" w:rsidRPr="00254F45">
        <w:rPr>
          <w:bCs/>
        </w:rPr>
        <w:t xml:space="preserve">at-risk populations </w:t>
      </w:r>
      <w:r>
        <w:rPr>
          <w:bCs/>
        </w:rPr>
        <w:t>throughout the life course</w:t>
      </w:r>
    </w:p>
    <w:p w14:paraId="11F197E2" w14:textId="429990A8" w:rsidR="00875C80" w:rsidRPr="00254F45" w:rsidRDefault="00875C80" w:rsidP="00D264B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Cs/>
        </w:rPr>
      </w:pPr>
      <w:r>
        <w:rPr>
          <w:bCs/>
        </w:rPr>
        <w:t xml:space="preserve">Role and responsibilities of public health </w:t>
      </w:r>
      <w:r w:rsidR="0014607F">
        <w:rPr>
          <w:bCs/>
        </w:rPr>
        <w:t xml:space="preserve">professionals in being agents of change </w:t>
      </w:r>
    </w:p>
    <w:bookmarkEnd w:id="0"/>
    <w:p w14:paraId="394D837E" w14:textId="77777777" w:rsidR="00CF20F5" w:rsidRPr="000D53F8" w:rsidRDefault="00EE45C5" w:rsidP="00D264B5">
      <w:pPr>
        <w:spacing w:after="120" w:line="240" w:lineRule="auto"/>
        <w:jc w:val="both"/>
        <w:rPr>
          <w:i/>
          <w:iCs/>
          <w:color w:val="808080" w:themeColor="background1" w:themeShade="80"/>
          <w:u w:val="single"/>
        </w:rPr>
      </w:pPr>
      <w:r w:rsidRPr="000D53F8">
        <w:rPr>
          <w:i/>
          <w:iCs/>
          <w:color w:val="808080" w:themeColor="background1" w:themeShade="80"/>
          <w:u w:val="single"/>
        </w:rPr>
        <w:t xml:space="preserve">Main messages </w:t>
      </w:r>
    </w:p>
    <w:p w14:paraId="45CB7AC6" w14:textId="34D65B61" w:rsidR="00A057A8" w:rsidRPr="00AE1E36" w:rsidRDefault="0045623E" w:rsidP="00AE1E36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AE1E36">
        <w:rPr>
          <w:rFonts w:cstheme="minorHAnsi"/>
        </w:rPr>
        <w:t>I</w:t>
      </w:r>
      <w:r w:rsidR="009909C1" w:rsidRPr="00AE1E36">
        <w:rPr>
          <w:rFonts w:cstheme="minorHAnsi"/>
        </w:rPr>
        <w:t xml:space="preserve">mmunisation throughout life </w:t>
      </w:r>
      <w:r w:rsidRPr="00AE1E36">
        <w:rPr>
          <w:rFonts w:cstheme="minorHAnsi"/>
        </w:rPr>
        <w:t>i</w:t>
      </w:r>
      <w:r w:rsidR="009909C1" w:rsidRPr="00AE1E36">
        <w:rPr>
          <w:rFonts w:cstheme="minorHAnsi"/>
        </w:rPr>
        <w:t xml:space="preserve">s a key pillar of expanded prevention strategies </w:t>
      </w:r>
      <w:r w:rsidR="0093413E" w:rsidRPr="00AE1E36">
        <w:rPr>
          <w:rFonts w:cstheme="minorHAnsi"/>
        </w:rPr>
        <w:t xml:space="preserve">that </w:t>
      </w:r>
      <w:r w:rsidR="00634CA7" w:rsidRPr="00AE1E36">
        <w:rPr>
          <w:rFonts w:cstheme="minorHAnsi"/>
        </w:rPr>
        <w:t>can</w:t>
      </w:r>
      <w:r w:rsidR="0093413E" w:rsidRPr="00AE1E36">
        <w:rPr>
          <w:rFonts w:cstheme="minorHAnsi"/>
        </w:rPr>
        <w:t xml:space="preserve"> save millions of lives</w:t>
      </w:r>
      <w:r w:rsidR="00A057A8" w:rsidRPr="00AE1E36">
        <w:rPr>
          <w:rFonts w:cstheme="minorHAnsi"/>
        </w:rPr>
        <w:t xml:space="preserve"> and a central component of universal health coverage</w:t>
      </w:r>
      <w:r w:rsidR="001F45E5" w:rsidRPr="00AE1E36">
        <w:rPr>
          <w:rFonts w:cstheme="minorHAnsi"/>
        </w:rPr>
        <w:t xml:space="preserve">.  </w:t>
      </w:r>
    </w:p>
    <w:p w14:paraId="10C5BDB9" w14:textId="20BE7642" w:rsidR="00C30ECF" w:rsidRPr="00AE1E36" w:rsidRDefault="009D6FDC" w:rsidP="00AE1E36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AE1E36">
        <w:rPr>
          <w:rFonts w:cstheme="minorHAnsi"/>
        </w:rPr>
        <w:t>T</w:t>
      </w:r>
      <w:r w:rsidR="00C02FB4" w:rsidRPr="00AE1E36">
        <w:rPr>
          <w:rFonts w:cstheme="minorHAnsi"/>
        </w:rPr>
        <w:t xml:space="preserve">he collective voice </w:t>
      </w:r>
      <w:r w:rsidR="00C30ECF" w:rsidRPr="00AE1E36">
        <w:rPr>
          <w:rFonts w:cstheme="minorHAnsi"/>
        </w:rPr>
        <w:t xml:space="preserve">and actions </w:t>
      </w:r>
      <w:r w:rsidR="00C02FB4" w:rsidRPr="00AE1E36">
        <w:rPr>
          <w:rFonts w:cstheme="minorHAnsi"/>
        </w:rPr>
        <w:t>of public health professionals</w:t>
      </w:r>
      <w:r w:rsidR="006C32D3" w:rsidRPr="00AE1E36">
        <w:rPr>
          <w:rFonts w:cstheme="minorHAnsi"/>
        </w:rPr>
        <w:t xml:space="preserve"> globally</w:t>
      </w:r>
      <w:r w:rsidR="00752501" w:rsidRPr="00AE1E36">
        <w:rPr>
          <w:rFonts w:cstheme="minorHAnsi"/>
        </w:rPr>
        <w:t xml:space="preserve"> </w:t>
      </w:r>
      <w:r w:rsidR="005A1F29" w:rsidRPr="00AE1E36">
        <w:rPr>
          <w:rFonts w:cstheme="minorHAnsi"/>
        </w:rPr>
        <w:t xml:space="preserve">is required urgently and immediately </w:t>
      </w:r>
      <w:r w:rsidR="00752501" w:rsidRPr="00AE1E36">
        <w:rPr>
          <w:rFonts w:cstheme="minorHAnsi"/>
        </w:rPr>
        <w:t xml:space="preserve">to ensure existing vaccine </w:t>
      </w:r>
      <w:r w:rsidR="001C5683" w:rsidRPr="00AE1E36">
        <w:rPr>
          <w:rFonts w:cstheme="minorHAnsi"/>
        </w:rPr>
        <w:t xml:space="preserve">uptake targets are met and </w:t>
      </w:r>
      <w:r w:rsidR="00DE4B11" w:rsidRPr="00AE1E36">
        <w:rPr>
          <w:rFonts w:cstheme="minorHAnsi"/>
        </w:rPr>
        <w:t xml:space="preserve">we </w:t>
      </w:r>
      <w:r w:rsidR="001C5683" w:rsidRPr="00AE1E36">
        <w:rPr>
          <w:rFonts w:cstheme="minorHAnsi"/>
        </w:rPr>
        <w:t xml:space="preserve">strive for parity of such </w:t>
      </w:r>
      <w:r w:rsidR="001267A8" w:rsidRPr="00AE1E36">
        <w:rPr>
          <w:rFonts w:cstheme="minorHAnsi"/>
        </w:rPr>
        <w:t>targets</w:t>
      </w:r>
      <w:r w:rsidR="00C30ECF" w:rsidRPr="00AE1E36">
        <w:rPr>
          <w:rFonts w:cstheme="minorHAnsi"/>
        </w:rPr>
        <w:t>.</w:t>
      </w:r>
      <w:r w:rsidR="001278D5" w:rsidRPr="00AE1E36">
        <w:rPr>
          <w:rFonts w:cstheme="minorHAnsi"/>
        </w:rPr>
        <w:t xml:space="preserve">  </w:t>
      </w:r>
    </w:p>
    <w:p w14:paraId="18E2064E" w14:textId="028B3E40" w:rsidR="0009591B" w:rsidRPr="000D53F8" w:rsidRDefault="0009591B" w:rsidP="00D264B5">
      <w:pPr>
        <w:spacing w:after="120" w:line="240" w:lineRule="auto"/>
        <w:jc w:val="both"/>
        <w:rPr>
          <w:i/>
          <w:iCs/>
          <w:color w:val="808080" w:themeColor="background1" w:themeShade="80"/>
          <w:u w:val="single"/>
        </w:rPr>
      </w:pPr>
      <w:r w:rsidRPr="000D53F8">
        <w:rPr>
          <w:i/>
          <w:iCs/>
          <w:color w:val="808080" w:themeColor="background1" w:themeShade="80"/>
          <w:u w:val="single"/>
        </w:rPr>
        <w:t>Panellists</w:t>
      </w:r>
    </w:p>
    <w:p w14:paraId="4B9FF994" w14:textId="77777777" w:rsidR="00761C9C" w:rsidRDefault="00761C9C" w:rsidP="00D264B5">
      <w:pPr>
        <w:spacing w:after="12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761C9C">
        <w:rPr>
          <w:rFonts w:cstheme="minorHAnsi"/>
          <w:color w:val="333333"/>
          <w:shd w:val="clear" w:color="auto" w:fill="FFFFFF"/>
        </w:rPr>
        <w:t xml:space="preserve">Moderator: </w:t>
      </w:r>
    </w:p>
    <w:p w14:paraId="1D4D8E51" w14:textId="4BAEF425" w:rsidR="00761C9C" w:rsidRPr="00761C9C" w:rsidRDefault="00761C9C" w:rsidP="00D264B5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cstheme="minorHAnsi"/>
          <w:shd w:val="clear" w:color="auto" w:fill="FFFFFF"/>
        </w:rPr>
      </w:pPr>
      <w:r w:rsidRPr="00761C9C">
        <w:rPr>
          <w:rFonts w:cstheme="minorHAnsi"/>
          <w:color w:val="333333"/>
          <w:shd w:val="clear" w:color="auto" w:fill="FFFFFF"/>
        </w:rPr>
        <w:t>Dr Jane Barratt, Secretary General, International Federation on Ageing represents a global NG</w:t>
      </w:r>
      <w:r w:rsidR="00D554A8">
        <w:rPr>
          <w:rFonts w:cstheme="minorHAnsi"/>
          <w:color w:val="333333"/>
          <w:shd w:val="clear" w:color="auto" w:fill="FFFFFF"/>
        </w:rPr>
        <w:t xml:space="preserve">O </w:t>
      </w:r>
      <w:r w:rsidR="00764241">
        <w:rPr>
          <w:rFonts w:cstheme="minorHAnsi"/>
          <w:color w:val="333333"/>
          <w:shd w:val="clear" w:color="auto" w:fill="FFFFFF"/>
        </w:rPr>
        <w:t xml:space="preserve">that is driving the adult vaccination agenda </w:t>
      </w:r>
      <w:r w:rsidR="00FB4A04">
        <w:rPr>
          <w:rFonts w:cstheme="minorHAnsi"/>
          <w:color w:val="333333"/>
          <w:shd w:val="clear" w:color="auto" w:fill="FFFFFF"/>
        </w:rPr>
        <w:t xml:space="preserve">in the context of population ageing </w:t>
      </w:r>
    </w:p>
    <w:p w14:paraId="19B54E78" w14:textId="0A767B4F" w:rsidR="00761C9C" w:rsidRPr="00761C9C" w:rsidRDefault="00BC158D" w:rsidP="00D264B5">
      <w:pPr>
        <w:spacing w:after="12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Proposed s</w:t>
      </w:r>
      <w:r w:rsidR="00761C9C" w:rsidRPr="00761C9C">
        <w:rPr>
          <w:rFonts w:cstheme="minorHAnsi"/>
          <w:shd w:val="clear" w:color="auto" w:fill="FFFFFF"/>
        </w:rPr>
        <w:t>peakers</w:t>
      </w:r>
      <w:r w:rsidR="00761C9C">
        <w:rPr>
          <w:rFonts w:cstheme="minorHAnsi"/>
          <w:shd w:val="clear" w:color="auto" w:fill="FFFFFF"/>
        </w:rPr>
        <w:t>:</w:t>
      </w:r>
      <w:r w:rsidR="00761C9C" w:rsidRPr="00761C9C">
        <w:rPr>
          <w:rFonts w:cstheme="minorHAnsi"/>
          <w:shd w:val="clear" w:color="auto" w:fill="FFFFFF"/>
        </w:rPr>
        <w:t xml:space="preserve"> </w:t>
      </w:r>
    </w:p>
    <w:p w14:paraId="67BFC819" w14:textId="77777777" w:rsidR="0020564C" w:rsidRPr="00653EC5" w:rsidRDefault="0020564C" w:rsidP="0020564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shd w:val="clear" w:color="auto" w:fill="FFFFFF"/>
        </w:rPr>
      </w:pPr>
      <w:r w:rsidRPr="0020564C">
        <w:rPr>
          <w:i/>
          <w:iCs/>
          <w:shd w:val="clear" w:color="auto" w:fill="FFFFFF"/>
        </w:rPr>
        <w:t xml:space="preserve">Dr Isabella </w:t>
      </w:r>
      <w:proofErr w:type="spellStart"/>
      <w:r w:rsidRPr="0020564C">
        <w:rPr>
          <w:i/>
          <w:iCs/>
          <w:shd w:val="clear" w:color="auto" w:fill="FFFFFF"/>
        </w:rPr>
        <w:t>Ballalai</w:t>
      </w:r>
      <w:proofErr w:type="spellEnd"/>
      <w:r w:rsidRPr="00653EC5">
        <w:rPr>
          <w:shd w:val="clear" w:color="auto" w:fill="FFFFFF"/>
        </w:rPr>
        <w:t>, Brazilian Immunization Association, Brazil that has forged efforts across disciplines and sectors to improve immunization rates</w:t>
      </w:r>
    </w:p>
    <w:p w14:paraId="4EAFA427" w14:textId="55C8F6EA" w:rsidR="00146A60" w:rsidRPr="00653EC5" w:rsidRDefault="0021511F" w:rsidP="00D264B5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cstheme="minorHAnsi"/>
          <w:shd w:val="clear" w:color="auto" w:fill="FFFFFF"/>
        </w:rPr>
      </w:pPr>
      <w:r w:rsidRPr="0020564C">
        <w:rPr>
          <w:rFonts w:cstheme="minorHAnsi"/>
          <w:i/>
          <w:iCs/>
          <w:shd w:val="clear" w:color="auto" w:fill="FFFFFF"/>
        </w:rPr>
        <w:t>Prof David Bloo</w:t>
      </w:r>
      <w:r w:rsidR="00741F13" w:rsidRPr="0020564C">
        <w:rPr>
          <w:rFonts w:cstheme="minorHAnsi"/>
          <w:i/>
          <w:iCs/>
          <w:shd w:val="clear" w:color="auto" w:fill="FFFFFF"/>
        </w:rPr>
        <w:t>m</w:t>
      </w:r>
      <w:r w:rsidR="00741F13" w:rsidRPr="00653EC5">
        <w:rPr>
          <w:rFonts w:cstheme="minorHAnsi"/>
          <w:shd w:val="clear" w:color="auto" w:fill="FFFFFF"/>
        </w:rPr>
        <w:t xml:space="preserve">, Harvard T.H. Chan School of Public </w:t>
      </w:r>
      <w:r w:rsidR="00451D94" w:rsidRPr="00653EC5">
        <w:rPr>
          <w:rFonts w:cstheme="minorHAnsi"/>
          <w:shd w:val="clear" w:color="auto" w:fill="FFFFFF"/>
        </w:rPr>
        <w:t>H</w:t>
      </w:r>
      <w:r w:rsidR="00741F13" w:rsidRPr="00653EC5">
        <w:rPr>
          <w:rFonts w:cstheme="minorHAnsi"/>
          <w:shd w:val="clear" w:color="auto" w:fill="FFFFFF"/>
        </w:rPr>
        <w:t>ealth</w:t>
      </w:r>
      <w:r w:rsidR="00451D94" w:rsidRPr="00653EC5">
        <w:rPr>
          <w:rFonts w:cstheme="minorHAnsi"/>
          <w:shd w:val="clear" w:color="auto" w:fill="FFFFFF"/>
        </w:rPr>
        <w:t xml:space="preserve"> is an eminent academic at the forefront of the </w:t>
      </w:r>
      <w:r w:rsidR="006029B8" w:rsidRPr="00653EC5">
        <w:rPr>
          <w:rFonts w:cstheme="minorHAnsi"/>
          <w:shd w:val="clear" w:color="auto" w:fill="FFFFFF"/>
        </w:rPr>
        <w:t>social and economic modelling on the impact of adult vaccination</w:t>
      </w:r>
      <w:r w:rsidR="00741F13" w:rsidRPr="00653EC5">
        <w:rPr>
          <w:rFonts w:cstheme="minorHAnsi"/>
          <w:shd w:val="clear" w:color="auto" w:fill="FFFFFF"/>
        </w:rPr>
        <w:t xml:space="preserve"> </w:t>
      </w:r>
    </w:p>
    <w:p w14:paraId="5F88056D" w14:textId="7C8F6F83" w:rsidR="00F82D69" w:rsidRPr="00653EC5" w:rsidRDefault="00CC2ADA" w:rsidP="00D264B5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cstheme="minorHAnsi"/>
          <w:shd w:val="clear" w:color="auto" w:fill="FFFFFF"/>
        </w:rPr>
      </w:pPr>
      <w:r w:rsidRPr="0020564C">
        <w:rPr>
          <w:rFonts w:cstheme="minorHAnsi"/>
          <w:i/>
          <w:iCs/>
          <w:shd w:val="clear" w:color="auto" w:fill="FFFFFF"/>
        </w:rPr>
        <w:t>Mr Radu Costin Ganescu</w:t>
      </w:r>
      <w:r w:rsidRPr="00653EC5">
        <w:rPr>
          <w:rFonts w:cstheme="minorHAnsi"/>
          <w:shd w:val="clear" w:color="auto" w:fill="FFFFFF"/>
        </w:rPr>
        <w:t xml:space="preserve">, National Coalition of Organisations for Patients with Chronic Conditions of Romania </w:t>
      </w:r>
      <w:r w:rsidR="00741F13" w:rsidRPr="00653EC5">
        <w:rPr>
          <w:rFonts w:cstheme="minorHAnsi"/>
          <w:shd w:val="clear" w:color="auto" w:fill="FFFFFF"/>
        </w:rPr>
        <w:t>and</w:t>
      </w:r>
      <w:r w:rsidRPr="00653EC5">
        <w:rPr>
          <w:rFonts w:cstheme="minorHAnsi"/>
          <w:shd w:val="clear" w:color="auto" w:fill="FFFFFF"/>
        </w:rPr>
        <w:t xml:space="preserve"> the European Patient Forum</w:t>
      </w:r>
      <w:r w:rsidR="00741F13" w:rsidRPr="00653EC5">
        <w:rPr>
          <w:rFonts w:cstheme="minorHAnsi"/>
          <w:shd w:val="clear" w:color="auto" w:fill="FFFFFF"/>
        </w:rPr>
        <w:t>, Romania</w:t>
      </w:r>
      <w:r w:rsidR="006029B8" w:rsidRPr="00653EC5">
        <w:rPr>
          <w:rFonts w:cstheme="minorHAnsi"/>
          <w:shd w:val="clear" w:color="auto" w:fill="FFFFFF"/>
        </w:rPr>
        <w:t xml:space="preserve"> </w:t>
      </w:r>
      <w:r w:rsidR="005529A8" w:rsidRPr="00653EC5">
        <w:rPr>
          <w:rFonts w:cs="Calibri"/>
        </w:rPr>
        <w:t xml:space="preserve">works </w:t>
      </w:r>
      <w:r w:rsidR="00F82D69" w:rsidRPr="00653EC5">
        <w:rPr>
          <w:rFonts w:cs="Calibri"/>
        </w:rPr>
        <w:t xml:space="preserve">to empower patients and their organisations </w:t>
      </w:r>
      <w:r w:rsidR="005529A8" w:rsidRPr="00653EC5">
        <w:rPr>
          <w:rFonts w:cs="Calibri"/>
        </w:rPr>
        <w:t>on</w:t>
      </w:r>
      <w:r w:rsidR="009E6C0F" w:rsidRPr="00653EC5">
        <w:rPr>
          <w:rFonts w:cs="Calibri"/>
        </w:rPr>
        <w:t xml:space="preserve"> the important of vaccination </w:t>
      </w:r>
      <w:r w:rsidR="00761C9C" w:rsidRPr="00653EC5">
        <w:rPr>
          <w:rFonts w:cs="Calibri"/>
        </w:rPr>
        <w:t xml:space="preserve">in at-risk populations </w:t>
      </w:r>
    </w:p>
    <w:p w14:paraId="77C7AF8D" w14:textId="0EB770B5" w:rsidR="00741F13" w:rsidRPr="00653EC5" w:rsidRDefault="00741F13" w:rsidP="00D264B5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cstheme="minorHAnsi"/>
          <w:shd w:val="clear" w:color="auto" w:fill="FFFFFF"/>
        </w:rPr>
      </w:pPr>
      <w:r w:rsidRPr="0020564C">
        <w:rPr>
          <w:rFonts w:cstheme="minorHAnsi"/>
          <w:i/>
          <w:iCs/>
          <w:shd w:val="clear" w:color="auto" w:fill="FFFFFF"/>
        </w:rPr>
        <w:t xml:space="preserve">Ms </w:t>
      </w:r>
      <w:proofErr w:type="spellStart"/>
      <w:r w:rsidRPr="0020564C">
        <w:rPr>
          <w:rFonts w:cstheme="minorHAnsi"/>
          <w:i/>
          <w:iCs/>
          <w:shd w:val="clear" w:color="auto" w:fill="FFFFFF"/>
        </w:rPr>
        <w:t>Telphia</w:t>
      </w:r>
      <w:proofErr w:type="spellEnd"/>
      <w:r w:rsidRPr="0020564C">
        <w:rPr>
          <w:rFonts w:cstheme="minorHAnsi"/>
          <w:i/>
          <w:iCs/>
          <w:shd w:val="clear" w:color="auto" w:fill="FFFFFF"/>
        </w:rPr>
        <w:t xml:space="preserve"> Joseph</w:t>
      </w:r>
      <w:r w:rsidR="00653EC5" w:rsidRPr="00653EC5">
        <w:rPr>
          <w:rFonts w:cstheme="minorHAnsi"/>
          <w:shd w:val="clear" w:color="auto" w:fill="FFFFFF"/>
        </w:rPr>
        <w:t>, University of New South Wales</w:t>
      </w:r>
      <w:r w:rsidRPr="00653EC5">
        <w:rPr>
          <w:rFonts w:cstheme="minorHAnsi"/>
          <w:shd w:val="clear" w:color="auto" w:fill="FFFFFF"/>
        </w:rPr>
        <w:t xml:space="preserve"> is a </w:t>
      </w:r>
      <w:proofErr w:type="spellStart"/>
      <w:r w:rsidRPr="00653EC5">
        <w:rPr>
          <w:rFonts w:cstheme="minorHAnsi"/>
          <w:shd w:val="clear" w:color="auto" w:fill="FFFFFF"/>
        </w:rPr>
        <w:t>Wadjarri</w:t>
      </w:r>
      <w:proofErr w:type="spellEnd"/>
      <w:r w:rsidRPr="00653EC5">
        <w:rPr>
          <w:rFonts w:cstheme="minorHAnsi"/>
          <w:shd w:val="clear" w:color="auto" w:fill="FFFFFF"/>
        </w:rPr>
        <w:t xml:space="preserve"> </w:t>
      </w:r>
      <w:proofErr w:type="spellStart"/>
      <w:r w:rsidRPr="00653EC5">
        <w:rPr>
          <w:rFonts w:cstheme="minorHAnsi"/>
          <w:shd w:val="clear" w:color="auto" w:fill="FFFFFF"/>
        </w:rPr>
        <w:t>Yamatji</w:t>
      </w:r>
      <w:proofErr w:type="spellEnd"/>
      <w:r w:rsidRPr="00653EC5">
        <w:rPr>
          <w:rFonts w:cstheme="minorHAnsi"/>
          <w:shd w:val="clear" w:color="auto" w:fill="FFFFFF"/>
        </w:rPr>
        <w:t xml:space="preserve"> woman with a keen interest in the immunisation activities provided in Aboriginal Services.  </w:t>
      </w:r>
    </w:p>
    <w:p w14:paraId="4B36E808" w14:textId="09EECCBD" w:rsidR="00E33532" w:rsidRPr="00653EC5" w:rsidRDefault="00E33532" w:rsidP="00D264B5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shd w:val="clear" w:color="auto" w:fill="FFFFFF"/>
        </w:rPr>
      </w:pPr>
      <w:r w:rsidRPr="0020564C">
        <w:rPr>
          <w:i/>
          <w:iCs/>
          <w:shd w:val="clear" w:color="auto" w:fill="FFFFFF"/>
        </w:rPr>
        <w:t>Ms Samira Shammas</w:t>
      </w:r>
      <w:r w:rsidRPr="00653EC5">
        <w:rPr>
          <w:shd w:val="clear" w:color="auto" w:fill="FFFFFF"/>
        </w:rPr>
        <w:t xml:space="preserve">, Jordanian Pharmacists Associations </w:t>
      </w:r>
      <w:r w:rsidR="00762488" w:rsidRPr="00653EC5">
        <w:rPr>
          <w:shd w:val="clear" w:color="auto" w:fill="FFFFFF"/>
        </w:rPr>
        <w:t xml:space="preserve">who </w:t>
      </w:r>
      <w:r w:rsidR="00B1403F" w:rsidRPr="00653EC5">
        <w:rPr>
          <w:shd w:val="clear" w:color="auto" w:fill="FFFFFF"/>
        </w:rPr>
        <w:t xml:space="preserve">is a </w:t>
      </w:r>
      <w:r w:rsidR="00700B21" w:rsidRPr="00653EC5">
        <w:rPr>
          <w:shd w:val="clear" w:color="auto" w:fill="FFFFFF"/>
        </w:rPr>
        <w:t xml:space="preserve">registered practising pharmacist, activist on the international, </w:t>
      </w:r>
      <w:proofErr w:type="gramStart"/>
      <w:r w:rsidR="00700B21" w:rsidRPr="00653EC5">
        <w:rPr>
          <w:shd w:val="clear" w:color="auto" w:fill="FFFFFF"/>
        </w:rPr>
        <w:t>regional</w:t>
      </w:r>
      <w:proofErr w:type="gramEnd"/>
      <w:r w:rsidR="00700B21" w:rsidRPr="00653EC5">
        <w:rPr>
          <w:shd w:val="clear" w:color="auto" w:fill="FFFFFF"/>
        </w:rPr>
        <w:t xml:space="preserve"> and national levels promoting the role of the pharmacy profession as a health care provider within the health care system</w:t>
      </w:r>
      <w:r w:rsidR="00145524" w:rsidRPr="00653EC5">
        <w:rPr>
          <w:shd w:val="clear" w:color="auto" w:fill="FFFFFF"/>
        </w:rPr>
        <w:t>.</w:t>
      </w:r>
    </w:p>
    <w:sectPr w:rsidR="00E33532" w:rsidRPr="00653E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F4DB7" w14:textId="77777777" w:rsidR="0072493B" w:rsidRDefault="0072493B" w:rsidP="00C3778E">
      <w:pPr>
        <w:spacing w:after="0" w:line="240" w:lineRule="auto"/>
      </w:pPr>
      <w:r>
        <w:separator/>
      </w:r>
    </w:p>
  </w:endnote>
  <w:endnote w:type="continuationSeparator" w:id="0">
    <w:p w14:paraId="0466D4F8" w14:textId="77777777" w:rsidR="0072493B" w:rsidRDefault="0072493B" w:rsidP="00C3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8B61" w14:textId="77777777" w:rsidR="00C3778E" w:rsidRDefault="00C37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ECFDE" w14:textId="77777777" w:rsidR="00C3778E" w:rsidRDefault="00C377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8441" w14:textId="77777777" w:rsidR="00C3778E" w:rsidRDefault="00C37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58B17" w14:textId="77777777" w:rsidR="0072493B" w:rsidRDefault="0072493B" w:rsidP="00C3778E">
      <w:pPr>
        <w:spacing w:after="0" w:line="240" w:lineRule="auto"/>
      </w:pPr>
      <w:r>
        <w:separator/>
      </w:r>
    </w:p>
  </w:footnote>
  <w:footnote w:type="continuationSeparator" w:id="0">
    <w:p w14:paraId="415DD9D8" w14:textId="77777777" w:rsidR="0072493B" w:rsidRDefault="0072493B" w:rsidP="00C3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22859" w14:textId="77777777" w:rsidR="00C3778E" w:rsidRDefault="00C37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B7485" w14:textId="1C0E8A03" w:rsidR="00C3778E" w:rsidRDefault="00C37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F49EA" w14:textId="77777777" w:rsidR="00C3778E" w:rsidRDefault="00C37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7540"/>
    <w:multiLevelType w:val="multilevel"/>
    <w:tmpl w:val="CF08F3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63A5A"/>
    <w:multiLevelType w:val="hybridMultilevel"/>
    <w:tmpl w:val="9354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8DB"/>
    <w:multiLevelType w:val="hybridMultilevel"/>
    <w:tmpl w:val="BB682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32E9"/>
    <w:multiLevelType w:val="multilevel"/>
    <w:tmpl w:val="CF08F37C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E1FC2"/>
    <w:multiLevelType w:val="hybridMultilevel"/>
    <w:tmpl w:val="0D528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17F0"/>
    <w:multiLevelType w:val="hybridMultilevel"/>
    <w:tmpl w:val="EE1AF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72B1B"/>
    <w:multiLevelType w:val="hybridMultilevel"/>
    <w:tmpl w:val="D0BA2D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27FC8"/>
    <w:multiLevelType w:val="hybridMultilevel"/>
    <w:tmpl w:val="DB644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1D28"/>
    <w:multiLevelType w:val="multilevel"/>
    <w:tmpl w:val="6B503F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06E45"/>
    <w:multiLevelType w:val="multilevel"/>
    <w:tmpl w:val="4446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F015C5"/>
    <w:multiLevelType w:val="multilevel"/>
    <w:tmpl w:val="CF08F37C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E0BC3"/>
    <w:multiLevelType w:val="hybridMultilevel"/>
    <w:tmpl w:val="DEA61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D3620"/>
    <w:multiLevelType w:val="hybridMultilevel"/>
    <w:tmpl w:val="5A3AF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C5"/>
    <w:rsid w:val="00007B05"/>
    <w:rsid w:val="0009591B"/>
    <w:rsid w:val="000D0B6F"/>
    <w:rsid w:val="000D53F8"/>
    <w:rsid w:val="00114A3E"/>
    <w:rsid w:val="001267A8"/>
    <w:rsid w:val="001278D5"/>
    <w:rsid w:val="00141489"/>
    <w:rsid w:val="00145524"/>
    <w:rsid w:val="0014607F"/>
    <w:rsid w:val="00146A60"/>
    <w:rsid w:val="0014759E"/>
    <w:rsid w:val="00157636"/>
    <w:rsid w:val="00161096"/>
    <w:rsid w:val="001C5683"/>
    <w:rsid w:val="001E56EF"/>
    <w:rsid w:val="001F45E5"/>
    <w:rsid w:val="0020564C"/>
    <w:rsid w:val="0021511F"/>
    <w:rsid w:val="00215A78"/>
    <w:rsid w:val="00254F45"/>
    <w:rsid w:val="0029003B"/>
    <w:rsid w:val="002959D2"/>
    <w:rsid w:val="002B47AA"/>
    <w:rsid w:val="002E4820"/>
    <w:rsid w:val="00364095"/>
    <w:rsid w:val="00374BD9"/>
    <w:rsid w:val="003C3DA2"/>
    <w:rsid w:val="003C569E"/>
    <w:rsid w:val="003D440C"/>
    <w:rsid w:val="00404C29"/>
    <w:rsid w:val="00451D94"/>
    <w:rsid w:val="0045623E"/>
    <w:rsid w:val="004670E2"/>
    <w:rsid w:val="00500C68"/>
    <w:rsid w:val="00514F17"/>
    <w:rsid w:val="00532AB8"/>
    <w:rsid w:val="005529A8"/>
    <w:rsid w:val="00554B82"/>
    <w:rsid w:val="00571402"/>
    <w:rsid w:val="005A1F29"/>
    <w:rsid w:val="005A6548"/>
    <w:rsid w:val="005A7418"/>
    <w:rsid w:val="005A7570"/>
    <w:rsid w:val="005A7988"/>
    <w:rsid w:val="005D3CFB"/>
    <w:rsid w:val="005F6BF1"/>
    <w:rsid w:val="006029B8"/>
    <w:rsid w:val="00634CA7"/>
    <w:rsid w:val="0063563E"/>
    <w:rsid w:val="00653EC5"/>
    <w:rsid w:val="00661910"/>
    <w:rsid w:val="00676C93"/>
    <w:rsid w:val="006816C5"/>
    <w:rsid w:val="00682E96"/>
    <w:rsid w:val="006C32D3"/>
    <w:rsid w:val="006E3267"/>
    <w:rsid w:val="006F125E"/>
    <w:rsid w:val="006F418A"/>
    <w:rsid w:val="00700A29"/>
    <w:rsid w:val="00700B21"/>
    <w:rsid w:val="0072493B"/>
    <w:rsid w:val="00741F13"/>
    <w:rsid w:val="00744FB5"/>
    <w:rsid w:val="00752501"/>
    <w:rsid w:val="00761C9C"/>
    <w:rsid w:val="00761E28"/>
    <w:rsid w:val="00762488"/>
    <w:rsid w:val="00764241"/>
    <w:rsid w:val="007C1647"/>
    <w:rsid w:val="007C3EA6"/>
    <w:rsid w:val="007F6B7E"/>
    <w:rsid w:val="007F76C9"/>
    <w:rsid w:val="00822FB4"/>
    <w:rsid w:val="00842494"/>
    <w:rsid w:val="00875C80"/>
    <w:rsid w:val="0093413E"/>
    <w:rsid w:val="009909C1"/>
    <w:rsid w:val="009A5A54"/>
    <w:rsid w:val="009D57F1"/>
    <w:rsid w:val="009D6FDC"/>
    <w:rsid w:val="009E6C0F"/>
    <w:rsid w:val="009F68A4"/>
    <w:rsid w:val="00A057A8"/>
    <w:rsid w:val="00A15E6B"/>
    <w:rsid w:val="00A176AF"/>
    <w:rsid w:val="00A21924"/>
    <w:rsid w:val="00AD44BA"/>
    <w:rsid w:val="00AD5880"/>
    <w:rsid w:val="00AE1E36"/>
    <w:rsid w:val="00AF68A4"/>
    <w:rsid w:val="00B1403F"/>
    <w:rsid w:val="00B16E58"/>
    <w:rsid w:val="00B42C9E"/>
    <w:rsid w:val="00B55EC4"/>
    <w:rsid w:val="00B82A0E"/>
    <w:rsid w:val="00B82B1E"/>
    <w:rsid w:val="00B91425"/>
    <w:rsid w:val="00B94179"/>
    <w:rsid w:val="00BC158D"/>
    <w:rsid w:val="00BF0E50"/>
    <w:rsid w:val="00C02FB4"/>
    <w:rsid w:val="00C30ECF"/>
    <w:rsid w:val="00C3778E"/>
    <w:rsid w:val="00C57B8E"/>
    <w:rsid w:val="00C606A3"/>
    <w:rsid w:val="00C63E97"/>
    <w:rsid w:val="00C76977"/>
    <w:rsid w:val="00C86D7F"/>
    <w:rsid w:val="00CC2ADA"/>
    <w:rsid w:val="00CD6268"/>
    <w:rsid w:val="00CF0581"/>
    <w:rsid w:val="00CF20F5"/>
    <w:rsid w:val="00CF7368"/>
    <w:rsid w:val="00D1462D"/>
    <w:rsid w:val="00D175F7"/>
    <w:rsid w:val="00D264B5"/>
    <w:rsid w:val="00D31C27"/>
    <w:rsid w:val="00D474A9"/>
    <w:rsid w:val="00D53A02"/>
    <w:rsid w:val="00D554A8"/>
    <w:rsid w:val="00D92F5B"/>
    <w:rsid w:val="00D95770"/>
    <w:rsid w:val="00D95D69"/>
    <w:rsid w:val="00DB25E8"/>
    <w:rsid w:val="00DE4B11"/>
    <w:rsid w:val="00DF5604"/>
    <w:rsid w:val="00E15560"/>
    <w:rsid w:val="00E256BB"/>
    <w:rsid w:val="00E33532"/>
    <w:rsid w:val="00E6077A"/>
    <w:rsid w:val="00E82A0D"/>
    <w:rsid w:val="00E83DA1"/>
    <w:rsid w:val="00E95A85"/>
    <w:rsid w:val="00EB7C9D"/>
    <w:rsid w:val="00ED6E16"/>
    <w:rsid w:val="00EE45C5"/>
    <w:rsid w:val="00F015EC"/>
    <w:rsid w:val="00F03452"/>
    <w:rsid w:val="00F757AB"/>
    <w:rsid w:val="00F82D69"/>
    <w:rsid w:val="00F922E1"/>
    <w:rsid w:val="00FA3894"/>
    <w:rsid w:val="00FA4409"/>
    <w:rsid w:val="00FB4A04"/>
    <w:rsid w:val="00FC57EF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4689D"/>
  <w15:chartTrackingRefBased/>
  <w15:docId w15:val="{CFDCD5A2-C72E-4A48-8D24-E99A6A9C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5E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D3CF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8E"/>
  </w:style>
  <w:style w:type="paragraph" w:styleId="Footer">
    <w:name w:val="footer"/>
    <w:basedOn w:val="Normal"/>
    <w:link w:val="FooterChar"/>
    <w:uiPriority w:val="99"/>
    <w:unhideWhenUsed/>
    <w:rsid w:val="00C3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8E"/>
  </w:style>
  <w:style w:type="paragraph" w:styleId="ListParagraph">
    <w:name w:val="List Paragraph"/>
    <w:basedOn w:val="Normal"/>
    <w:uiPriority w:val="34"/>
    <w:qFormat/>
    <w:rsid w:val="005F6BF1"/>
    <w:pPr>
      <w:ind w:left="720"/>
      <w:contextualSpacing/>
    </w:pPr>
  </w:style>
  <w:style w:type="paragraph" w:customStyle="1" w:styleId="Default">
    <w:name w:val="Default"/>
    <w:rsid w:val="00514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D4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D7EE5258E0F42ACAFD454B37BB120" ma:contentTypeVersion="6" ma:contentTypeDescription="Create a new document." ma:contentTypeScope="" ma:versionID="23c3fe3905e2ab67fbe4e6931470e6f6">
  <xsd:schema xmlns:xsd="http://www.w3.org/2001/XMLSchema" xmlns:xs="http://www.w3.org/2001/XMLSchema" xmlns:p="http://schemas.microsoft.com/office/2006/metadata/properties" xmlns:ns3="8f4f0ea7-50b1-4782-9c8e-847158c1cba0" targetNamespace="http://schemas.microsoft.com/office/2006/metadata/properties" ma:root="true" ma:fieldsID="3dc0762009c231556f97ef58bd18ad60" ns3:_="">
    <xsd:import namespace="8f4f0ea7-50b1-4782-9c8e-847158c1c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0ea7-50b1-4782-9c8e-847158c1c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DA5C2-2CAC-4049-A808-21D42EBAE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0ea7-50b1-4782-9c8e-847158c1c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54433-C64A-40F4-974A-3C99A8ABC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7D68B-FB0B-4952-97B0-8554A2F6E7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Barratt</dc:creator>
  <cp:keywords/>
  <dc:description/>
  <cp:lastModifiedBy>Jane Barratt</cp:lastModifiedBy>
  <cp:revision>2</cp:revision>
  <dcterms:created xsi:type="dcterms:W3CDTF">2020-05-06T18:00:00Z</dcterms:created>
  <dcterms:modified xsi:type="dcterms:W3CDTF">2020-05-06T18:00:00Z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0x010100998D7EE5258E0F42ACAFD454B37BB120</vt:lpwstr>
  </property>
</Properties>
</file>