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08"/>
        <w:gridCol w:w="4508"/>
      </w:tblGrid>
      <w:tr w:rsidR="00B055A4" w:rsidRPr="00B055A4" w14:paraId="51F10B17" w14:textId="77777777" w:rsidTr="00866B81">
        <w:tc>
          <w:tcPr>
            <w:tcW w:w="9016" w:type="dxa"/>
            <w:gridSpan w:val="2"/>
          </w:tcPr>
          <w:p w14:paraId="40442991" w14:textId="77777777" w:rsidR="00394258" w:rsidRDefault="00B8250B" w:rsidP="00316CF3">
            <w:pPr>
              <w:jc w:val="center"/>
              <w:rPr>
                <w:rFonts w:eastAsia="Times New Roman"/>
                <w:lang w:val="en-GB"/>
              </w:rPr>
            </w:pPr>
            <w:r w:rsidRPr="00935CD7">
              <w:rPr>
                <w:rFonts w:eastAsia="Times New Roman"/>
                <w:lang w:val="en-GB"/>
              </w:rPr>
              <w:t xml:space="preserve">Strengthening connections across sectors: </w:t>
            </w:r>
          </w:p>
          <w:p w14:paraId="07A6A8EA" w14:textId="7532FDEB" w:rsidR="005F3E74" w:rsidRDefault="00B8250B" w:rsidP="00316CF3">
            <w:pPr>
              <w:jc w:val="center"/>
              <w:rPr>
                <w:rFonts w:eastAsia="Times New Roman"/>
                <w:lang w:val="en-GB"/>
              </w:rPr>
            </w:pPr>
            <w:r w:rsidRPr="00935CD7">
              <w:rPr>
                <w:rFonts w:eastAsia="Times New Roman"/>
                <w:lang w:val="en-GB"/>
              </w:rPr>
              <w:t>Building partnerships for healthy ageing in and beyond the COVID-19 era</w:t>
            </w:r>
          </w:p>
          <w:p w14:paraId="4F2823C5" w14:textId="7A24321C" w:rsidR="00316CF3" w:rsidRPr="00B8250B" w:rsidRDefault="00316CF3" w:rsidP="00316CF3">
            <w:pPr>
              <w:jc w:val="center"/>
              <w:rPr>
                <w:rFonts w:eastAsia="Times New Roman"/>
                <w:lang w:val="en-GB"/>
              </w:rPr>
            </w:pPr>
            <w:r>
              <w:rPr>
                <w:rFonts w:eastAsia="Times New Roman"/>
                <w:lang w:val="en-GB"/>
              </w:rPr>
              <w:t>4</w:t>
            </w:r>
            <w:r w:rsidRPr="00316CF3">
              <w:rPr>
                <w:rFonts w:eastAsia="Times New Roman"/>
                <w:vertAlign w:val="superscript"/>
                <w:lang w:val="en-GB"/>
              </w:rPr>
              <w:t>th</w:t>
            </w:r>
            <w:r>
              <w:rPr>
                <w:rFonts w:eastAsia="Times New Roman"/>
                <w:lang w:val="en-GB"/>
              </w:rPr>
              <w:t xml:space="preserve"> November 2020</w:t>
            </w:r>
            <w:r w:rsidR="0019183C">
              <w:rPr>
                <w:rFonts w:eastAsia="Times New Roman"/>
                <w:lang w:val="en-GB"/>
              </w:rPr>
              <w:t xml:space="preserve"> (1400 – 1530 Geneva)</w:t>
            </w:r>
          </w:p>
        </w:tc>
      </w:tr>
      <w:tr w:rsidR="001D28AB" w:rsidRPr="00B055A4" w14:paraId="2C5B96EB" w14:textId="77777777" w:rsidTr="001D131E">
        <w:tc>
          <w:tcPr>
            <w:tcW w:w="9016" w:type="dxa"/>
            <w:gridSpan w:val="2"/>
          </w:tcPr>
          <w:p w14:paraId="6E68DFDB" w14:textId="480A6599" w:rsidR="00056A4D" w:rsidRDefault="00056A4D" w:rsidP="001C59D1">
            <w:pPr>
              <w:pStyle w:val="Default"/>
              <w:spacing w:after="120"/>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Format Overview</w:t>
            </w:r>
            <w:r w:rsidR="00394258">
              <w:rPr>
                <w:rFonts w:asciiTheme="minorHAnsi" w:hAnsiTheme="minorHAnsi" w:cstheme="minorHAnsi"/>
                <w:b/>
                <w:bCs/>
                <w:color w:val="auto"/>
                <w:sz w:val="22"/>
                <w:szCs w:val="22"/>
              </w:rPr>
              <w:t xml:space="preserve"> (internal)</w:t>
            </w:r>
          </w:p>
          <w:p w14:paraId="4A0D8397" w14:textId="0D1266A0" w:rsidR="00280C7F" w:rsidRDefault="00280C7F" w:rsidP="001C59D1">
            <w:pPr>
              <w:spacing w:after="120"/>
              <w:jc w:val="both"/>
              <w:rPr>
                <w:lang w:val="en-GB"/>
              </w:rPr>
            </w:pPr>
            <w:r>
              <w:rPr>
                <w:lang w:val="en-GB"/>
              </w:rPr>
              <w:t xml:space="preserve">In the context of the lives of current and future generations of older people </w:t>
            </w:r>
            <w:r w:rsidR="00BD6B12">
              <w:rPr>
                <w:lang w:val="en-GB"/>
              </w:rPr>
              <w:t xml:space="preserve">and the coronavirus pandemic </w:t>
            </w:r>
            <w:r>
              <w:rPr>
                <w:lang w:val="en-GB"/>
              </w:rPr>
              <w:t>t</w:t>
            </w:r>
            <w:r>
              <w:rPr>
                <w:rFonts w:cstheme="minorHAnsi"/>
              </w:rPr>
              <w:t>his m</w:t>
            </w:r>
            <w:r w:rsidRPr="00056A4D">
              <w:rPr>
                <w:rFonts w:cstheme="minorHAnsi"/>
              </w:rPr>
              <w:t xml:space="preserve">oderated roundtable </w:t>
            </w:r>
            <w:r w:rsidR="00BD6B12">
              <w:rPr>
                <w:rFonts w:cstheme="minorHAnsi"/>
              </w:rPr>
              <w:t xml:space="preserve">will </w:t>
            </w:r>
            <w:r>
              <w:rPr>
                <w:rFonts w:cstheme="minorHAnsi"/>
              </w:rPr>
              <w:t>focus on specific</w:t>
            </w:r>
            <w:r>
              <w:rPr>
                <w:lang w:val="en-GB"/>
              </w:rPr>
              <w:t xml:space="preserve"> systemic and technical issues </w:t>
            </w:r>
            <w:r w:rsidR="00617020">
              <w:rPr>
                <w:lang w:val="en-GB"/>
              </w:rPr>
              <w:t xml:space="preserve">within and external to the WHO </w:t>
            </w:r>
            <w:r w:rsidR="000831FB">
              <w:rPr>
                <w:lang w:val="en-GB"/>
              </w:rPr>
              <w:t xml:space="preserve">where </w:t>
            </w:r>
            <w:r>
              <w:rPr>
                <w:lang w:val="en-GB"/>
              </w:rPr>
              <w:t>leadership</w:t>
            </w:r>
            <w:r w:rsidR="00A01C02">
              <w:rPr>
                <w:lang w:val="en-GB"/>
              </w:rPr>
              <w:t xml:space="preserve"> is</w:t>
            </w:r>
            <w:r w:rsidR="000831FB">
              <w:rPr>
                <w:lang w:val="en-GB"/>
              </w:rPr>
              <w:t xml:space="preserve"> critical </w:t>
            </w:r>
            <w:r w:rsidR="00FF536F">
              <w:rPr>
                <w:lang w:val="en-GB"/>
              </w:rPr>
              <w:t xml:space="preserve">for </w:t>
            </w:r>
            <w:r w:rsidR="000831FB">
              <w:rPr>
                <w:lang w:val="en-GB"/>
              </w:rPr>
              <w:t xml:space="preserve">meaningful </w:t>
            </w:r>
            <w:r>
              <w:rPr>
                <w:lang w:val="en-GB"/>
              </w:rPr>
              <w:t xml:space="preserve">collaboration.  </w:t>
            </w:r>
          </w:p>
          <w:p w14:paraId="42235D8B" w14:textId="5EF986C2" w:rsidR="000831FB" w:rsidRDefault="000831FB" w:rsidP="000831FB">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Lightning talks on five technical issues </w:t>
            </w:r>
            <w:r w:rsidR="00C5740D">
              <w:rPr>
                <w:rFonts w:asciiTheme="minorHAnsi" w:hAnsiTheme="minorHAnsi" w:cstheme="minorHAnsi"/>
                <w:color w:val="auto"/>
                <w:sz w:val="22"/>
                <w:szCs w:val="22"/>
              </w:rPr>
              <w:t xml:space="preserve">embedded in much needed system change </w:t>
            </w:r>
            <w:r>
              <w:rPr>
                <w:rFonts w:asciiTheme="minorHAnsi" w:hAnsiTheme="minorHAnsi" w:cstheme="minorHAnsi"/>
                <w:color w:val="auto"/>
                <w:sz w:val="22"/>
                <w:szCs w:val="22"/>
              </w:rPr>
              <w:t xml:space="preserve">will follow a standard format of stating the issue, the solution / good practice and </w:t>
            </w:r>
            <w:r w:rsidRPr="00056A4D">
              <w:rPr>
                <w:rFonts w:asciiTheme="minorHAnsi" w:hAnsiTheme="minorHAnsi" w:cstheme="minorHAnsi"/>
                <w:color w:val="auto"/>
                <w:sz w:val="22"/>
                <w:szCs w:val="22"/>
              </w:rPr>
              <w:t>finally</w:t>
            </w:r>
            <w:r w:rsidR="00A01C02">
              <w:rPr>
                <w:rFonts w:asciiTheme="minorHAnsi" w:hAnsiTheme="minorHAnsi" w:cstheme="minorHAnsi"/>
                <w:color w:val="auto"/>
                <w:sz w:val="22"/>
                <w:szCs w:val="22"/>
              </w:rPr>
              <w:t xml:space="preserve"> the role WHO can play</w:t>
            </w:r>
            <w:r>
              <w:rPr>
                <w:rFonts w:asciiTheme="minorHAnsi" w:hAnsiTheme="minorHAnsi" w:cstheme="minorHAnsi"/>
                <w:color w:val="auto"/>
                <w:sz w:val="22"/>
                <w:szCs w:val="22"/>
              </w:rPr>
              <w:t>.  We have chosen areas</w:t>
            </w:r>
            <w:r w:rsidR="00A01C02">
              <w:rPr>
                <w:rFonts w:asciiTheme="minorHAnsi" w:hAnsiTheme="minorHAnsi" w:cstheme="minorHAnsi"/>
                <w:color w:val="auto"/>
                <w:sz w:val="22"/>
                <w:szCs w:val="22"/>
              </w:rPr>
              <w:t xml:space="preserve"> in</w:t>
            </w:r>
            <w:r>
              <w:rPr>
                <w:rFonts w:asciiTheme="minorHAnsi" w:hAnsiTheme="minorHAnsi" w:cstheme="minorHAnsi"/>
                <w:color w:val="auto"/>
                <w:sz w:val="22"/>
                <w:szCs w:val="22"/>
              </w:rPr>
              <w:t xml:space="preserve"> which, we believe, only WHO could lead international interagency, cross disciplinary, intersectoral work involving all stakeholders, including civil society which stands ready to engage and support. </w:t>
            </w:r>
          </w:p>
          <w:p w14:paraId="0FA4479A" w14:textId="1CDC5ABF" w:rsidR="001D28AB" w:rsidRPr="00A15604" w:rsidRDefault="00186A03" w:rsidP="001C59D1">
            <w:pPr>
              <w:spacing w:after="120"/>
              <w:jc w:val="both"/>
            </w:pPr>
            <w:r>
              <w:rPr>
                <w:lang w:val="en-GB"/>
              </w:rPr>
              <w:t xml:space="preserve">Through </w:t>
            </w:r>
            <w:r w:rsidR="009A6318">
              <w:rPr>
                <w:lang w:val="en-GB"/>
              </w:rPr>
              <w:t>the</w:t>
            </w:r>
            <w:r>
              <w:rPr>
                <w:lang w:val="en-GB"/>
              </w:rPr>
              <w:t xml:space="preserve"> </w:t>
            </w:r>
            <w:r w:rsidR="00E93F5B">
              <w:rPr>
                <w:lang w:val="en-GB"/>
              </w:rPr>
              <w:t xml:space="preserve">subsequent </w:t>
            </w:r>
            <w:r>
              <w:rPr>
                <w:lang w:val="en-GB"/>
              </w:rPr>
              <w:t>moderate</w:t>
            </w:r>
            <w:r w:rsidR="00A01C02">
              <w:rPr>
                <w:lang w:val="en-GB"/>
              </w:rPr>
              <w:t>d</w:t>
            </w:r>
            <w:r>
              <w:rPr>
                <w:lang w:val="en-GB"/>
              </w:rPr>
              <w:t xml:space="preserve"> discussion among the panellists, attendees and WHO colleagues</w:t>
            </w:r>
            <w:r w:rsidR="009A6318">
              <w:rPr>
                <w:lang w:val="en-GB"/>
              </w:rPr>
              <w:t xml:space="preserve"> </w:t>
            </w:r>
            <w:r>
              <w:rPr>
                <w:lang w:val="en-GB"/>
              </w:rPr>
              <w:t xml:space="preserve">the aim is to explore concrete actions which we believe will </w:t>
            </w:r>
            <w:r w:rsidR="00280C7F">
              <w:rPr>
                <w:lang w:val="en-GB"/>
              </w:rPr>
              <w:t xml:space="preserve">support a strengthened focus on healthy ageing at global, regional, national and community levels.  </w:t>
            </w:r>
          </w:p>
        </w:tc>
      </w:tr>
      <w:tr w:rsidR="00316CF3" w:rsidRPr="00B055A4" w14:paraId="3B5B5E90" w14:textId="77777777" w:rsidTr="001D131E">
        <w:tc>
          <w:tcPr>
            <w:tcW w:w="9016" w:type="dxa"/>
            <w:gridSpan w:val="2"/>
          </w:tcPr>
          <w:p w14:paraId="582744A4" w14:textId="5B6D9897" w:rsidR="00316CF3" w:rsidRPr="0019183C" w:rsidRDefault="0019183C" w:rsidP="001C59D1">
            <w:pPr>
              <w:pStyle w:val="Default"/>
              <w:spacing w:after="120"/>
              <w:jc w:val="both"/>
              <w:rPr>
                <w:rFonts w:asciiTheme="minorHAnsi" w:hAnsiTheme="minorHAnsi" w:cstheme="minorHAnsi"/>
                <w:b/>
                <w:bCs/>
                <w:color w:val="auto"/>
                <w:sz w:val="22"/>
                <w:szCs w:val="22"/>
              </w:rPr>
            </w:pPr>
            <w:r w:rsidRPr="0019183C">
              <w:rPr>
                <w:rFonts w:asciiTheme="minorHAnsi" w:hAnsiTheme="minorHAnsi" w:cstheme="minorHAnsi"/>
                <w:b/>
                <w:bCs/>
                <w:color w:val="auto"/>
                <w:sz w:val="22"/>
                <w:szCs w:val="22"/>
              </w:rPr>
              <w:t xml:space="preserve">Opening remarks </w:t>
            </w:r>
          </w:p>
          <w:p w14:paraId="1553EA83" w14:textId="1477C2B0" w:rsidR="00186A03" w:rsidRPr="00B57D71" w:rsidRDefault="00186A03" w:rsidP="006B1CEB">
            <w:pPr>
              <w:pStyle w:val="Default"/>
              <w:spacing w:after="120"/>
              <w:jc w:val="both"/>
              <w:rPr>
                <w:rFonts w:asciiTheme="minorHAnsi" w:hAnsiTheme="minorHAnsi" w:cstheme="minorHAnsi"/>
                <w:color w:val="auto"/>
                <w:sz w:val="22"/>
                <w:szCs w:val="22"/>
              </w:rPr>
            </w:pPr>
            <w:r w:rsidRPr="00B57D71">
              <w:rPr>
                <w:rFonts w:asciiTheme="minorHAnsi" w:hAnsiTheme="minorHAnsi" w:cstheme="minorHAnsi"/>
                <w:color w:val="auto"/>
                <w:sz w:val="22"/>
                <w:szCs w:val="22"/>
              </w:rPr>
              <w:t>Older people and those with underlying health conditions are facing the most significant risks from COVID-19, yet neither are they invisible or powerless.  In this space of both tragedy and opportunity CSOs working with these groups are the glue of solidarity globally, nationally, locally and at the community level</w:t>
            </w:r>
            <w:r w:rsidR="006B1CEB">
              <w:rPr>
                <w:rFonts w:asciiTheme="minorHAnsi" w:hAnsiTheme="minorHAnsi" w:cstheme="minorHAnsi"/>
                <w:color w:val="auto"/>
                <w:sz w:val="22"/>
                <w:szCs w:val="22"/>
              </w:rPr>
              <w:t xml:space="preserve">.  They </w:t>
            </w:r>
            <w:r w:rsidRPr="00B57D71">
              <w:rPr>
                <w:rFonts w:asciiTheme="minorHAnsi" w:hAnsiTheme="minorHAnsi" w:cstheme="minorHAnsi"/>
                <w:color w:val="auto"/>
                <w:sz w:val="22"/>
                <w:szCs w:val="22"/>
              </w:rPr>
              <w:t xml:space="preserve">can bring to life a common agenda inter alia in response to the pandemic, that supports broader global initiatives, including the Decade of Healthy Ageing, Immunization Strategy 2030, WHO Global Report on Ageism, WHO Report on Vision, </w:t>
            </w:r>
            <w:hyperlink r:id="rId10" w:history="1">
              <w:r w:rsidRPr="00B57D71">
                <w:rPr>
                  <w:rStyle w:val="Hyperlink"/>
                  <w:rFonts w:asciiTheme="minorHAnsi" w:hAnsiTheme="minorHAnsi" w:cstheme="minorHAnsi"/>
                  <w:color w:val="auto"/>
                  <w:sz w:val="22"/>
                  <w:szCs w:val="22"/>
                  <w:u w:val="none"/>
                </w:rPr>
                <w:t>Global Report on effective access to Assistive Technology</w:t>
              </w:r>
            </w:hyperlink>
            <w:r w:rsidRPr="00B57D71">
              <w:rPr>
                <w:rFonts w:asciiTheme="minorHAnsi" w:hAnsiTheme="minorHAnsi" w:cstheme="minorHAnsi"/>
                <w:color w:val="auto"/>
                <w:sz w:val="22"/>
                <w:szCs w:val="22"/>
              </w:rPr>
              <w:t xml:space="preserve"> and the </w:t>
            </w:r>
            <w:r w:rsidRPr="00B57D71">
              <w:rPr>
                <w:rFonts w:eastAsia="Times New Roman"/>
                <w:sz w:val="22"/>
                <w:szCs w:val="22"/>
                <w:lang w:val="en-GB"/>
              </w:rPr>
              <w:t>Global Humanitarian Response Plan</w:t>
            </w:r>
            <w:r w:rsidRPr="00B57D71">
              <w:rPr>
                <w:rFonts w:asciiTheme="minorHAnsi" w:hAnsiTheme="minorHAnsi" w:cstheme="minorHAnsi"/>
                <w:color w:val="auto"/>
                <w:sz w:val="22"/>
                <w:szCs w:val="22"/>
              </w:rPr>
              <w:t xml:space="preserve">.  </w:t>
            </w:r>
          </w:p>
          <w:p w14:paraId="2767C3D2" w14:textId="05C06359" w:rsidR="006B1CEB" w:rsidRDefault="00186A03" w:rsidP="006B1CEB">
            <w:pPr>
              <w:pStyle w:val="Default"/>
              <w:spacing w:after="120"/>
              <w:jc w:val="both"/>
              <w:rPr>
                <w:rFonts w:asciiTheme="minorHAnsi" w:hAnsiTheme="minorHAnsi" w:cstheme="minorHAnsi"/>
                <w:color w:val="auto"/>
                <w:sz w:val="22"/>
                <w:szCs w:val="22"/>
              </w:rPr>
            </w:pPr>
            <w:r w:rsidRPr="00B57D71">
              <w:rPr>
                <w:rFonts w:asciiTheme="minorHAnsi" w:hAnsiTheme="minorHAnsi" w:cstheme="minorHAnsi"/>
                <w:color w:val="auto"/>
                <w:sz w:val="22"/>
                <w:szCs w:val="22"/>
              </w:rPr>
              <w:t>Older people and population ageing are often viewed as a ‘problem’ or a group that does not warrant attention, including during this pandemic.</w:t>
            </w:r>
            <w:r>
              <w:rPr>
                <w:rFonts w:asciiTheme="minorHAnsi" w:hAnsiTheme="minorHAnsi" w:cstheme="minorHAnsi"/>
                <w:color w:val="auto"/>
                <w:sz w:val="22"/>
                <w:szCs w:val="22"/>
              </w:rPr>
              <w:t xml:space="preserve">  </w:t>
            </w:r>
            <w:r w:rsidRPr="00B57D71">
              <w:rPr>
                <w:rFonts w:asciiTheme="minorHAnsi" w:hAnsiTheme="minorHAnsi" w:cstheme="minorHAnsi"/>
                <w:color w:val="auto"/>
                <w:sz w:val="22"/>
                <w:szCs w:val="22"/>
              </w:rPr>
              <w:t xml:space="preserve">However, the disproportionate impact of COVID-19 on older people’s health is starting to galvanise communities, civil </w:t>
            </w:r>
            <w:proofErr w:type="gramStart"/>
            <w:r w:rsidRPr="00B57D71">
              <w:rPr>
                <w:rFonts w:asciiTheme="minorHAnsi" w:hAnsiTheme="minorHAnsi" w:cstheme="minorHAnsi"/>
                <w:color w:val="auto"/>
                <w:sz w:val="22"/>
                <w:szCs w:val="22"/>
              </w:rPr>
              <w:t>society</w:t>
            </w:r>
            <w:proofErr w:type="gramEnd"/>
            <w:r w:rsidRPr="00B57D71">
              <w:rPr>
                <w:rFonts w:asciiTheme="minorHAnsi" w:hAnsiTheme="minorHAnsi" w:cstheme="minorHAnsi"/>
                <w:color w:val="auto"/>
                <w:sz w:val="22"/>
                <w:szCs w:val="22"/>
              </w:rPr>
              <w:t xml:space="preserve"> and others. We have an opportunity to join forces across sectors and disciplines and with WHO so that the rights of older people (and others at high risk) are </w:t>
            </w:r>
            <w:r w:rsidR="006B1CEB" w:rsidRPr="00B57D71">
              <w:rPr>
                <w:rFonts w:asciiTheme="minorHAnsi" w:hAnsiTheme="minorHAnsi" w:cstheme="minorHAnsi"/>
                <w:color w:val="auto"/>
                <w:sz w:val="22"/>
                <w:szCs w:val="22"/>
              </w:rPr>
              <w:t>met,</w:t>
            </w:r>
            <w:r w:rsidRPr="00B57D71">
              <w:rPr>
                <w:rFonts w:asciiTheme="minorHAnsi" w:hAnsiTheme="minorHAnsi" w:cstheme="minorHAnsi"/>
                <w:color w:val="auto"/>
                <w:sz w:val="22"/>
                <w:szCs w:val="22"/>
              </w:rPr>
              <w:t xml:space="preserve"> and their resilience is central to messages from WHO to member states</w:t>
            </w:r>
            <w:r w:rsidR="001851F7">
              <w:rPr>
                <w:rFonts w:asciiTheme="minorHAnsi" w:hAnsiTheme="minorHAnsi" w:cstheme="minorHAnsi"/>
                <w:color w:val="auto"/>
                <w:sz w:val="22"/>
                <w:szCs w:val="22"/>
              </w:rPr>
              <w:t xml:space="preserve">.  </w:t>
            </w:r>
          </w:p>
          <w:p w14:paraId="4F585F62" w14:textId="1CBBF9B8" w:rsidR="00186A03" w:rsidRDefault="006B1CEB" w:rsidP="006B1CEB">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Equally </w:t>
            </w:r>
            <w:r w:rsidR="001851F7">
              <w:rPr>
                <w:rFonts w:asciiTheme="minorHAnsi" w:hAnsiTheme="minorHAnsi" w:cstheme="minorHAnsi"/>
                <w:color w:val="auto"/>
                <w:sz w:val="22"/>
                <w:szCs w:val="22"/>
              </w:rPr>
              <w:t>important</w:t>
            </w:r>
            <w:r w:rsidR="00A01C02">
              <w:rPr>
                <w:rFonts w:asciiTheme="minorHAnsi" w:hAnsiTheme="minorHAnsi" w:cstheme="minorHAnsi"/>
                <w:color w:val="auto"/>
                <w:sz w:val="22"/>
                <w:szCs w:val="22"/>
              </w:rPr>
              <w:t>,</w:t>
            </w:r>
            <w:r w:rsidR="001851F7">
              <w:rPr>
                <w:rFonts w:asciiTheme="minorHAnsi" w:hAnsiTheme="minorHAnsi" w:cstheme="minorHAnsi"/>
                <w:color w:val="auto"/>
                <w:sz w:val="22"/>
                <w:szCs w:val="22"/>
              </w:rPr>
              <w:t xml:space="preserve"> is to show that </w:t>
            </w:r>
            <w:r>
              <w:rPr>
                <w:rFonts w:asciiTheme="minorHAnsi" w:hAnsiTheme="minorHAnsi" w:cstheme="minorHAnsi"/>
                <w:color w:val="auto"/>
                <w:sz w:val="22"/>
                <w:szCs w:val="22"/>
              </w:rPr>
              <w:t xml:space="preserve">the resilience of </w:t>
            </w:r>
            <w:r w:rsidR="001851F7">
              <w:rPr>
                <w:rFonts w:asciiTheme="minorHAnsi" w:hAnsiTheme="minorHAnsi" w:cstheme="minorHAnsi"/>
                <w:color w:val="auto"/>
                <w:sz w:val="22"/>
                <w:szCs w:val="22"/>
              </w:rPr>
              <w:t>older pe</w:t>
            </w:r>
            <w:r w:rsidR="00A01C02">
              <w:rPr>
                <w:rFonts w:asciiTheme="minorHAnsi" w:hAnsiTheme="minorHAnsi" w:cstheme="minorHAnsi"/>
                <w:color w:val="auto"/>
                <w:sz w:val="22"/>
                <w:szCs w:val="22"/>
              </w:rPr>
              <w:t>ople</w:t>
            </w:r>
            <w:r w:rsidR="001851F7">
              <w:rPr>
                <w:rFonts w:asciiTheme="minorHAnsi" w:hAnsiTheme="minorHAnsi" w:cstheme="minorHAnsi"/>
                <w:color w:val="auto"/>
                <w:sz w:val="22"/>
                <w:szCs w:val="22"/>
              </w:rPr>
              <w:t xml:space="preserve"> </w:t>
            </w:r>
            <w:r w:rsidR="00A01C02">
              <w:rPr>
                <w:rFonts w:asciiTheme="minorHAnsi" w:hAnsiTheme="minorHAnsi" w:cstheme="minorHAnsi"/>
                <w:color w:val="auto"/>
                <w:sz w:val="22"/>
                <w:szCs w:val="22"/>
              </w:rPr>
              <w:t xml:space="preserve">is </w:t>
            </w:r>
            <w:r w:rsidR="001851F7">
              <w:rPr>
                <w:rFonts w:asciiTheme="minorHAnsi" w:hAnsiTheme="minorHAnsi" w:cstheme="minorHAnsi"/>
                <w:color w:val="auto"/>
                <w:sz w:val="22"/>
                <w:szCs w:val="22"/>
              </w:rPr>
              <w:t xml:space="preserve">critical in the process of healing and recovering – as shown in multiple previous crisis and emergency situations. </w:t>
            </w:r>
            <w:r>
              <w:rPr>
                <w:rFonts w:asciiTheme="minorHAnsi" w:hAnsiTheme="minorHAnsi" w:cstheme="minorHAnsi"/>
                <w:color w:val="auto"/>
                <w:sz w:val="22"/>
                <w:szCs w:val="22"/>
              </w:rPr>
              <w:t xml:space="preserve"> </w:t>
            </w:r>
            <w:r w:rsidR="00A01C02">
              <w:rPr>
                <w:rFonts w:asciiTheme="minorHAnsi" w:hAnsiTheme="minorHAnsi" w:cstheme="minorHAnsi"/>
                <w:color w:val="auto"/>
                <w:sz w:val="22"/>
                <w:szCs w:val="22"/>
              </w:rPr>
              <w:t>Older people</w:t>
            </w:r>
            <w:r w:rsidR="001851F7">
              <w:rPr>
                <w:rFonts w:asciiTheme="minorHAnsi" w:hAnsiTheme="minorHAnsi" w:cstheme="minorHAnsi"/>
                <w:color w:val="auto"/>
                <w:sz w:val="22"/>
                <w:szCs w:val="22"/>
              </w:rPr>
              <w:t xml:space="preserve"> can see the light at the end of the tunnel.  These are </w:t>
            </w:r>
            <w:r w:rsidR="001851F7" w:rsidRPr="00B57D71">
              <w:rPr>
                <w:rFonts w:asciiTheme="minorHAnsi" w:hAnsiTheme="minorHAnsi" w:cstheme="minorHAnsi"/>
                <w:color w:val="auto"/>
                <w:sz w:val="22"/>
                <w:szCs w:val="22"/>
              </w:rPr>
              <w:t xml:space="preserve">central messages </w:t>
            </w:r>
            <w:r w:rsidR="001851F7">
              <w:rPr>
                <w:rFonts w:asciiTheme="minorHAnsi" w:hAnsiTheme="minorHAnsi" w:cstheme="minorHAnsi"/>
                <w:color w:val="auto"/>
                <w:sz w:val="22"/>
                <w:szCs w:val="22"/>
              </w:rPr>
              <w:t xml:space="preserve">to be emphasized </w:t>
            </w:r>
            <w:r w:rsidR="001851F7" w:rsidRPr="00B57D71">
              <w:rPr>
                <w:rFonts w:asciiTheme="minorHAnsi" w:hAnsiTheme="minorHAnsi" w:cstheme="minorHAnsi"/>
                <w:color w:val="auto"/>
                <w:sz w:val="22"/>
                <w:szCs w:val="22"/>
              </w:rPr>
              <w:t xml:space="preserve">from WHO to </w:t>
            </w:r>
            <w:r w:rsidR="001851F7">
              <w:rPr>
                <w:rFonts w:asciiTheme="minorHAnsi" w:hAnsiTheme="minorHAnsi" w:cstheme="minorHAnsi"/>
                <w:color w:val="auto"/>
                <w:sz w:val="22"/>
                <w:szCs w:val="22"/>
              </w:rPr>
              <w:t>M</w:t>
            </w:r>
            <w:r w:rsidR="001851F7" w:rsidRPr="00B57D71">
              <w:rPr>
                <w:rFonts w:asciiTheme="minorHAnsi" w:hAnsiTheme="minorHAnsi" w:cstheme="minorHAnsi"/>
                <w:color w:val="auto"/>
                <w:sz w:val="22"/>
                <w:szCs w:val="22"/>
              </w:rPr>
              <w:t xml:space="preserve">ember </w:t>
            </w:r>
            <w:r w:rsidR="001851F7">
              <w:rPr>
                <w:rFonts w:asciiTheme="minorHAnsi" w:hAnsiTheme="minorHAnsi" w:cstheme="minorHAnsi"/>
                <w:color w:val="auto"/>
                <w:sz w:val="22"/>
                <w:szCs w:val="22"/>
              </w:rPr>
              <w:t>S</w:t>
            </w:r>
            <w:r w:rsidR="001851F7" w:rsidRPr="00B57D71">
              <w:rPr>
                <w:rFonts w:asciiTheme="minorHAnsi" w:hAnsiTheme="minorHAnsi" w:cstheme="minorHAnsi"/>
                <w:color w:val="auto"/>
                <w:sz w:val="22"/>
                <w:szCs w:val="22"/>
              </w:rPr>
              <w:t>tates</w:t>
            </w:r>
            <w:r w:rsidR="001851F7">
              <w:rPr>
                <w:rFonts w:asciiTheme="minorHAnsi" w:hAnsiTheme="minorHAnsi" w:cstheme="minorHAnsi"/>
                <w:color w:val="auto"/>
                <w:sz w:val="22"/>
                <w:szCs w:val="22"/>
              </w:rPr>
              <w:t>.</w:t>
            </w:r>
          </w:p>
          <w:p w14:paraId="369639C3" w14:textId="09338F8E" w:rsidR="002936EE" w:rsidRDefault="00617020" w:rsidP="006B1CEB">
            <w:pPr>
              <w:pStyle w:val="Default"/>
              <w:spacing w:after="120"/>
              <w:jc w:val="both"/>
              <w:rPr>
                <w:sz w:val="22"/>
                <w:szCs w:val="22"/>
                <w:lang w:val="en-GB"/>
              </w:rPr>
            </w:pPr>
            <w:r w:rsidRPr="001C59D1">
              <w:rPr>
                <w:sz w:val="22"/>
                <w:szCs w:val="22"/>
                <w:lang w:val="en-GB"/>
              </w:rPr>
              <w:t xml:space="preserve">WHO </w:t>
            </w:r>
            <w:r w:rsidR="002936EE">
              <w:rPr>
                <w:sz w:val="22"/>
                <w:szCs w:val="22"/>
                <w:lang w:val="en-GB"/>
              </w:rPr>
              <w:t xml:space="preserve">should be </w:t>
            </w:r>
            <w:r w:rsidRPr="001C59D1">
              <w:rPr>
                <w:sz w:val="22"/>
                <w:szCs w:val="22"/>
                <w:lang w:val="en-GB"/>
              </w:rPr>
              <w:t xml:space="preserve">a mirror into the world on </w:t>
            </w:r>
            <w:r w:rsidR="002936EE" w:rsidRPr="000831FB">
              <w:rPr>
                <w:sz w:val="22"/>
                <w:szCs w:val="22"/>
                <w:lang w:val="en-GB"/>
              </w:rPr>
              <w:t>age</w:t>
            </w:r>
            <w:r w:rsidR="002936EE">
              <w:rPr>
                <w:sz w:val="22"/>
                <w:szCs w:val="22"/>
                <w:lang w:val="en-GB"/>
              </w:rPr>
              <w:t xml:space="preserve"> and ageing </w:t>
            </w:r>
            <w:r w:rsidR="00D57F05">
              <w:rPr>
                <w:sz w:val="22"/>
                <w:szCs w:val="22"/>
                <w:lang w:val="en-GB"/>
              </w:rPr>
              <w:t xml:space="preserve">moving into the </w:t>
            </w:r>
            <w:r w:rsidR="002936EE">
              <w:rPr>
                <w:sz w:val="22"/>
                <w:szCs w:val="22"/>
                <w:lang w:val="en-GB"/>
              </w:rPr>
              <w:t xml:space="preserve">Decade of Healthy </w:t>
            </w:r>
            <w:proofErr w:type="gramStart"/>
            <w:r w:rsidR="002936EE">
              <w:rPr>
                <w:sz w:val="22"/>
                <w:szCs w:val="22"/>
                <w:lang w:val="en-GB"/>
              </w:rPr>
              <w:t>Ageing</w:t>
            </w:r>
            <w:r w:rsidR="00A01C02">
              <w:rPr>
                <w:sz w:val="22"/>
                <w:szCs w:val="22"/>
                <w:lang w:val="en-GB"/>
              </w:rPr>
              <w:t>.</w:t>
            </w:r>
            <w:proofErr w:type="gramEnd"/>
            <w:r w:rsidRPr="001C59D1">
              <w:rPr>
                <w:sz w:val="22"/>
                <w:szCs w:val="22"/>
                <w:lang w:val="en-GB"/>
              </w:rPr>
              <w:t xml:space="preserve">  </w:t>
            </w:r>
            <w:r w:rsidR="00BF3213" w:rsidRPr="000831FB">
              <w:rPr>
                <w:sz w:val="22"/>
                <w:szCs w:val="22"/>
                <w:lang w:val="en-GB"/>
              </w:rPr>
              <w:t xml:space="preserve">The </w:t>
            </w:r>
            <w:r w:rsidR="002936EE">
              <w:rPr>
                <w:sz w:val="22"/>
                <w:szCs w:val="22"/>
                <w:lang w:val="en-GB"/>
              </w:rPr>
              <w:t xml:space="preserve">coronavirus </w:t>
            </w:r>
            <w:r w:rsidR="00BF3213" w:rsidRPr="000831FB">
              <w:rPr>
                <w:sz w:val="22"/>
                <w:szCs w:val="22"/>
                <w:lang w:val="en-GB"/>
              </w:rPr>
              <w:t>pandemic has brutally exposed the lack of much needed coordination and focus</w:t>
            </w:r>
            <w:r w:rsidR="00857454">
              <w:rPr>
                <w:sz w:val="22"/>
                <w:szCs w:val="22"/>
                <w:lang w:val="en-GB"/>
              </w:rPr>
              <w:t xml:space="preserve"> and the prevalence of age discrimination</w:t>
            </w:r>
            <w:r w:rsidR="00D30C4D">
              <w:rPr>
                <w:sz w:val="22"/>
                <w:szCs w:val="22"/>
                <w:lang w:val="en-GB"/>
              </w:rPr>
              <w:t xml:space="preserve">, </w:t>
            </w:r>
            <w:r w:rsidR="007F5FAC">
              <w:rPr>
                <w:sz w:val="22"/>
                <w:szCs w:val="22"/>
                <w:lang w:val="en-GB"/>
              </w:rPr>
              <w:t xml:space="preserve">as expressed by </w:t>
            </w:r>
            <w:r w:rsidR="00D30C4D">
              <w:rPr>
                <w:sz w:val="22"/>
                <w:szCs w:val="22"/>
                <w:lang w:val="en-GB"/>
              </w:rPr>
              <w:t>t</w:t>
            </w:r>
            <w:r w:rsidR="00314685">
              <w:rPr>
                <w:sz w:val="22"/>
                <w:szCs w:val="22"/>
                <w:lang w:val="en-GB"/>
              </w:rPr>
              <w:t xml:space="preserve">he WHO Director General (DG) on </w:t>
            </w:r>
            <w:r w:rsidR="006B1CEB">
              <w:rPr>
                <w:sz w:val="22"/>
                <w:szCs w:val="22"/>
                <w:lang w:val="en-GB"/>
              </w:rPr>
              <w:t>several</w:t>
            </w:r>
            <w:r w:rsidR="00314685">
              <w:rPr>
                <w:sz w:val="22"/>
                <w:szCs w:val="22"/>
                <w:lang w:val="en-GB"/>
              </w:rPr>
              <w:t xml:space="preserve"> </w:t>
            </w:r>
            <w:r w:rsidR="00013950">
              <w:rPr>
                <w:sz w:val="22"/>
                <w:szCs w:val="22"/>
                <w:lang w:val="en-GB"/>
              </w:rPr>
              <w:t>occasions.</w:t>
            </w:r>
            <w:r w:rsidR="00BF3213" w:rsidRPr="000831FB">
              <w:rPr>
                <w:sz w:val="22"/>
                <w:szCs w:val="22"/>
                <w:lang w:val="en-GB"/>
              </w:rPr>
              <w:t xml:space="preserve"> </w:t>
            </w:r>
            <w:r w:rsidR="006B1CEB">
              <w:rPr>
                <w:sz w:val="22"/>
                <w:szCs w:val="22"/>
                <w:lang w:val="en-GB"/>
              </w:rPr>
              <w:t xml:space="preserve"> </w:t>
            </w:r>
            <w:r w:rsidR="003E72CF">
              <w:rPr>
                <w:sz w:val="22"/>
                <w:szCs w:val="22"/>
                <w:lang w:val="en-GB"/>
              </w:rPr>
              <w:t>W</w:t>
            </w:r>
            <w:r w:rsidR="00BF3213" w:rsidRPr="000831FB">
              <w:rPr>
                <w:sz w:val="22"/>
                <w:szCs w:val="22"/>
                <w:lang w:val="en-GB"/>
              </w:rPr>
              <w:t xml:space="preserve">e believe </w:t>
            </w:r>
            <w:r w:rsidR="006B1CEB">
              <w:rPr>
                <w:sz w:val="22"/>
                <w:szCs w:val="22"/>
                <w:lang w:val="en-GB"/>
              </w:rPr>
              <w:t xml:space="preserve">in and support Dr Tedros </w:t>
            </w:r>
            <w:r w:rsidR="007F5FAC">
              <w:rPr>
                <w:sz w:val="22"/>
                <w:szCs w:val="22"/>
                <w:lang w:val="en-GB"/>
              </w:rPr>
              <w:t xml:space="preserve">and </w:t>
            </w:r>
            <w:r w:rsidR="006B1CEB">
              <w:rPr>
                <w:sz w:val="22"/>
                <w:szCs w:val="22"/>
                <w:lang w:val="en-GB"/>
              </w:rPr>
              <w:t xml:space="preserve">other global leaders to </w:t>
            </w:r>
            <w:r w:rsidR="0050413C">
              <w:rPr>
                <w:sz w:val="22"/>
                <w:szCs w:val="22"/>
                <w:lang w:val="en-GB"/>
              </w:rPr>
              <w:t xml:space="preserve">continue to </w:t>
            </w:r>
            <w:r w:rsidR="00531315">
              <w:rPr>
                <w:sz w:val="22"/>
                <w:szCs w:val="22"/>
                <w:lang w:val="en-GB"/>
              </w:rPr>
              <w:t>highlight such issues and lead coordinated action on ageing and health.</w:t>
            </w:r>
            <w:r w:rsidR="00BF3213" w:rsidRPr="000831FB">
              <w:rPr>
                <w:sz w:val="22"/>
                <w:szCs w:val="22"/>
                <w:lang w:val="en-GB"/>
              </w:rPr>
              <w:t xml:space="preserve">  </w:t>
            </w:r>
            <w:r w:rsidR="007F5FAC">
              <w:rPr>
                <w:sz w:val="22"/>
                <w:szCs w:val="22"/>
                <w:lang w:val="en-GB"/>
              </w:rPr>
              <w:t xml:space="preserve">However, it is from WHO the world expects the ultimate leadership.  </w:t>
            </w:r>
            <w:r w:rsidR="002936EE" w:rsidRPr="00070000">
              <w:rPr>
                <w:sz w:val="22"/>
                <w:szCs w:val="22"/>
                <w:lang w:val="en-GB"/>
              </w:rPr>
              <w:t>Current and future generations w</w:t>
            </w:r>
            <w:r w:rsidR="00B445EF">
              <w:rPr>
                <w:sz w:val="22"/>
                <w:szCs w:val="22"/>
                <w:lang w:val="en-GB"/>
              </w:rPr>
              <w:t>ill</w:t>
            </w:r>
            <w:r w:rsidR="002936EE" w:rsidRPr="00070000">
              <w:rPr>
                <w:sz w:val="22"/>
                <w:szCs w:val="22"/>
                <w:lang w:val="en-GB"/>
              </w:rPr>
              <w:t xml:space="preserve"> pay a heavy price if we, collectively, fail to act appropriately.</w:t>
            </w:r>
          </w:p>
          <w:p w14:paraId="41D07D9E" w14:textId="66968BB4" w:rsidR="006B1CEB" w:rsidRDefault="00186A03" w:rsidP="006B1CEB">
            <w:pPr>
              <w:pStyle w:val="Default"/>
              <w:spacing w:after="120"/>
              <w:jc w:val="both"/>
              <w:rPr>
                <w:rFonts w:asciiTheme="minorHAnsi" w:hAnsiTheme="minorHAnsi" w:cstheme="minorHAnsi"/>
                <w:color w:val="auto"/>
                <w:sz w:val="22"/>
                <w:szCs w:val="22"/>
                <w:shd w:val="clear" w:color="auto" w:fill="FFFFFF"/>
              </w:rPr>
            </w:pPr>
            <w:r w:rsidRPr="00070000">
              <w:rPr>
                <w:rStyle w:val="Emphasis"/>
                <w:rFonts w:asciiTheme="minorHAnsi" w:hAnsiTheme="minorHAnsi" w:cstheme="minorHAnsi"/>
                <w:i w:val="0"/>
                <w:iCs w:val="0"/>
                <w:color w:val="auto"/>
                <w:sz w:val="22"/>
                <w:szCs w:val="22"/>
                <w:shd w:val="clear" w:color="auto" w:fill="FFFFFF"/>
              </w:rPr>
              <w:t>Population ageing</w:t>
            </w:r>
            <w:r w:rsidRPr="00070000">
              <w:rPr>
                <w:rStyle w:val="Emphasis"/>
                <w:rFonts w:asciiTheme="minorHAnsi" w:hAnsiTheme="minorHAnsi" w:cstheme="minorHAnsi"/>
                <w:b/>
                <w:bCs/>
                <w:i w:val="0"/>
                <w:iCs w:val="0"/>
                <w:color w:val="auto"/>
                <w:sz w:val="22"/>
                <w:szCs w:val="22"/>
                <w:shd w:val="clear" w:color="auto" w:fill="FFFFFF"/>
              </w:rPr>
              <w:t xml:space="preserve"> </w:t>
            </w:r>
            <w:r w:rsidRPr="00070000">
              <w:rPr>
                <w:rFonts w:asciiTheme="minorHAnsi" w:hAnsiTheme="minorHAnsi" w:cstheme="minorHAnsi"/>
                <w:color w:val="auto"/>
                <w:sz w:val="22"/>
                <w:szCs w:val="22"/>
                <w:shd w:val="clear" w:color="auto" w:fill="FFFFFF"/>
              </w:rPr>
              <w:t xml:space="preserve">is a powerful and transforming force that impacts the social, health and economic fabric of every </w:t>
            </w:r>
            <w:r w:rsidR="00A01C02">
              <w:rPr>
                <w:rFonts w:asciiTheme="minorHAnsi" w:hAnsiTheme="minorHAnsi" w:cstheme="minorHAnsi"/>
                <w:color w:val="auto"/>
                <w:sz w:val="22"/>
                <w:szCs w:val="22"/>
                <w:shd w:val="clear" w:color="auto" w:fill="FFFFFF"/>
              </w:rPr>
              <w:t>M</w:t>
            </w:r>
            <w:r w:rsidRPr="00070000">
              <w:rPr>
                <w:rFonts w:asciiTheme="minorHAnsi" w:hAnsiTheme="minorHAnsi" w:cstheme="minorHAnsi"/>
                <w:color w:val="auto"/>
                <w:sz w:val="22"/>
                <w:szCs w:val="22"/>
                <w:shd w:val="clear" w:color="auto" w:fill="FFFFFF"/>
              </w:rPr>
              <w:t xml:space="preserve">ember </w:t>
            </w:r>
            <w:r w:rsidR="00A01C02">
              <w:rPr>
                <w:rFonts w:asciiTheme="minorHAnsi" w:hAnsiTheme="minorHAnsi" w:cstheme="minorHAnsi"/>
                <w:color w:val="auto"/>
                <w:sz w:val="22"/>
                <w:szCs w:val="22"/>
                <w:shd w:val="clear" w:color="auto" w:fill="FFFFFF"/>
              </w:rPr>
              <w:t>S</w:t>
            </w:r>
            <w:r w:rsidRPr="00070000">
              <w:rPr>
                <w:rFonts w:asciiTheme="minorHAnsi" w:hAnsiTheme="minorHAnsi" w:cstheme="minorHAnsi"/>
                <w:color w:val="auto"/>
                <w:sz w:val="22"/>
                <w:szCs w:val="22"/>
                <w:shd w:val="clear" w:color="auto" w:fill="FFFFFF"/>
              </w:rPr>
              <w:t xml:space="preserve">tate.  There are many WHO technical </w:t>
            </w:r>
            <w:r w:rsidR="00614258">
              <w:rPr>
                <w:rFonts w:asciiTheme="minorHAnsi" w:hAnsiTheme="minorHAnsi" w:cstheme="minorHAnsi"/>
                <w:color w:val="auto"/>
                <w:sz w:val="22"/>
                <w:szCs w:val="22"/>
                <w:shd w:val="clear" w:color="auto" w:fill="FFFFFF"/>
              </w:rPr>
              <w:t xml:space="preserve">departments and </w:t>
            </w:r>
            <w:r w:rsidRPr="00070000">
              <w:rPr>
                <w:rFonts w:asciiTheme="minorHAnsi" w:hAnsiTheme="minorHAnsi" w:cstheme="minorHAnsi"/>
                <w:color w:val="auto"/>
                <w:sz w:val="22"/>
                <w:szCs w:val="22"/>
                <w:shd w:val="clear" w:color="auto" w:fill="FFFFFF"/>
              </w:rPr>
              <w:t>units that deal with health across the life course and</w:t>
            </w:r>
            <w:r w:rsidR="00A01C02">
              <w:rPr>
                <w:rFonts w:asciiTheme="minorHAnsi" w:hAnsiTheme="minorHAnsi" w:cstheme="minorHAnsi"/>
                <w:color w:val="auto"/>
                <w:sz w:val="22"/>
                <w:szCs w:val="22"/>
                <w:shd w:val="clear" w:color="auto" w:fill="FFFFFF"/>
              </w:rPr>
              <w:t xml:space="preserve"> others that</w:t>
            </w:r>
            <w:r w:rsidRPr="00070000">
              <w:rPr>
                <w:rFonts w:asciiTheme="minorHAnsi" w:hAnsiTheme="minorHAnsi" w:cstheme="minorHAnsi"/>
                <w:color w:val="auto"/>
                <w:sz w:val="22"/>
                <w:szCs w:val="22"/>
                <w:shd w:val="clear" w:color="auto" w:fill="FFFFFF"/>
              </w:rPr>
              <w:t xml:space="preserve"> intersect </w:t>
            </w:r>
            <w:r w:rsidR="00A01C02">
              <w:rPr>
                <w:rFonts w:asciiTheme="minorHAnsi" w:hAnsiTheme="minorHAnsi" w:cstheme="minorHAnsi"/>
                <w:color w:val="auto"/>
                <w:sz w:val="22"/>
                <w:szCs w:val="22"/>
                <w:shd w:val="clear" w:color="auto" w:fill="FFFFFF"/>
              </w:rPr>
              <w:t xml:space="preserve">with </w:t>
            </w:r>
            <w:r w:rsidRPr="00070000">
              <w:rPr>
                <w:rFonts w:asciiTheme="minorHAnsi" w:hAnsiTheme="minorHAnsi" w:cstheme="minorHAnsi"/>
                <w:color w:val="auto"/>
                <w:sz w:val="22"/>
                <w:szCs w:val="22"/>
                <w:shd w:val="clear" w:color="auto" w:fill="FFFFFF"/>
              </w:rPr>
              <w:t>the health and function of older people</w:t>
            </w:r>
            <w:r w:rsidR="00A01C02">
              <w:rPr>
                <w:rFonts w:asciiTheme="minorHAnsi" w:hAnsiTheme="minorHAnsi" w:cstheme="minorHAnsi"/>
                <w:color w:val="auto"/>
                <w:sz w:val="22"/>
                <w:szCs w:val="22"/>
                <w:shd w:val="clear" w:color="auto" w:fill="FFFFFF"/>
              </w:rPr>
              <w:t>,</w:t>
            </w:r>
            <w:r w:rsidRPr="00070000">
              <w:rPr>
                <w:rFonts w:asciiTheme="minorHAnsi" w:hAnsiTheme="minorHAnsi" w:cstheme="minorHAnsi"/>
                <w:color w:val="auto"/>
                <w:sz w:val="22"/>
                <w:szCs w:val="22"/>
                <w:shd w:val="clear" w:color="auto" w:fill="FFFFFF"/>
              </w:rPr>
              <w:t xml:space="preserve"> such as mental health and neurological conditions, environmental health, </w:t>
            </w:r>
            <w:r w:rsidR="00973621">
              <w:rPr>
                <w:rFonts w:asciiTheme="minorHAnsi" w:hAnsiTheme="minorHAnsi" w:cstheme="minorHAnsi"/>
                <w:color w:val="auto"/>
                <w:sz w:val="22"/>
                <w:szCs w:val="22"/>
                <w:shd w:val="clear" w:color="auto" w:fill="FFFFFF"/>
              </w:rPr>
              <w:t>social determinants</w:t>
            </w:r>
            <w:r w:rsidR="0041019B">
              <w:rPr>
                <w:rFonts w:asciiTheme="minorHAnsi" w:hAnsiTheme="minorHAnsi" w:cstheme="minorHAnsi"/>
                <w:color w:val="auto"/>
                <w:sz w:val="22"/>
                <w:szCs w:val="22"/>
                <w:shd w:val="clear" w:color="auto" w:fill="FFFFFF"/>
              </w:rPr>
              <w:t xml:space="preserve"> of health</w:t>
            </w:r>
            <w:r w:rsidR="00973621">
              <w:rPr>
                <w:rFonts w:asciiTheme="minorHAnsi" w:hAnsiTheme="minorHAnsi" w:cstheme="minorHAnsi"/>
                <w:color w:val="auto"/>
                <w:sz w:val="22"/>
                <w:szCs w:val="22"/>
                <w:shd w:val="clear" w:color="auto" w:fill="FFFFFF"/>
              </w:rPr>
              <w:t xml:space="preserve">, </w:t>
            </w:r>
            <w:r w:rsidRPr="00070000">
              <w:rPr>
                <w:rFonts w:asciiTheme="minorHAnsi" w:hAnsiTheme="minorHAnsi" w:cstheme="minorHAnsi"/>
                <w:color w:val="auto"/>
                <w:sz w:val="22"/>
                <w:szCs w:val="22"/>
                <w:shd w:val="clear" w:color="auto" w:fill="FFFFFF"/>
              </w:rPr>
              <w:t>women’s health, violence and injuries prevention, assistive technologies, essential medicines, health systems,</w:t>
            </w:r>
            <w:r w:rsidR="00A01C02">
              <w:rPr>
                <w:rFonts w:asciiTheme="minorHAnsi" w:hAnsiTheme="minorHAnsi" w:cstheme="minorHAnsi"/>
                <w:color w:val="auto"/>
                <w:sz w:val="22"/>
                <w:szCs w:val="22"/>
                <w:shd w:val="clear" w:color="auto" w:fill="FFFFFF"/>
              </w:rPr>
              <w:t xml:space="preserve"> universal health coverage,</w:t>
            </w:r>
            <w:r w:rsidRPr="00070000">
              <w:rPr>
                <w:rFonts w:asciiTheme="minorHAnsi" w:hAnsiTheme="minorHAnsi" w:cstheme="minorHAnsi"/>
                <w:color w:val="auto"/>
                <w:sz w:val="22"/>
                <w:szCs w:val="22"/>
                <w:shd w:val="clear" w:color="auto" w:fill="FFFFFF"/>
              </w:rPr>
              <w:t xml:space="preserve"> </w:t>
            </w:r>
            <w:r w:rsidR="0041019B">
              <w:rPr>
                <w:rFonts w:asciiTheme="minorHAnsi" w:hAnsiTheme="minorHAnsi" w:cstheme="minorHAnsi"/>
                <w:color w:val="auto"/>
                <w:sz w:val="22"/>
                <w:szCs w:val="22"/>
                <w:shd w:val="clear" w:color="auto" w:fill="FFFFFF"/>
              </w:rPr>
              <w:t xml:space="preserve">health promotion, </w:t>
            </w:r>
            <w:r w:rsidRPr="00070000">
              <w:rPr>
                <w:rFonts w:asciiTheme="minorHAnsi" w:hAnsiTheme="minorHAnsi" w:cstheme="minorHAnsi"/>
                <w:color w:val="auto"/>
                <w:sz w:val="22"/>
                <w:szCs w:val="22"/>
                <w:shd w:val="clear" w:color="auto" w:fill="FFFFFF"/>
              </w:rPr>
              <w:t>gender</w:t>
            </w:r>
            <w:r w:rsidR="00973621">
              <w:rPr>
                <w:rFonts w:asciiTheme="minorHAnsi" w:hAnsiTheme="minorHAnsi" w:cstheme="minorHAnsi"/>
                <w:color w:val="auto"/>
                <w:sz w:val="22"/>
                <w:szCs w:val="22"/>
                <w:shd w:val="clear" w:color="auto" w:fill="FFFFFF"/>
              </w:rPr>
              <w:t>, equit</w:t>
            </w:r>
            <w:r w:rsidR="0041019B">
              <w:rPr>
                <w:rFonts w:asciiTheme="minorHAnsi" w:hAnsiTheme="minorHAnsi" w:cstheme="minorHAnsi"/>
                <w:color w:val="auto"/>
                <w:sz w:val="22"/>
                <w:szCs w:val="22"/>
                <w:shd w:val="clear" w:color="auto" w:fill="FFFFFF"/>
              </w:rPr>
              <w:t>y</w:t>
            </w:r>
            <w:r w:rsidRPr="00070000">
              <w:rPr>
                <w:rFonts w:asciiTheme="minorHAnsi" w:hAnsiTheme="minorHAnsi" w:cstheme="minorHAnsi"/>
                <w:color w:val="auto"/>
                <w:sz w:val="22"/>
                <w:szCs w:val="22"/>
                <w:shd w:val="clear" w:color="auto" w:fill="FFFFFF"/>
              </w:rPr>
              <w:t xml:space="preserve"> and human rights</w:t>
            </w:r>
            <w:r w:rsidR="00A01C02">
              <w:rPr>
                <w:rFonts w:asciiTheme="minorHAnsi" w:hAnsiTheme="minorHAnsi" w:cstheme="minorHAnsi"/>
                <w:color w:val="auto"/>
                <w:sz w:val="22"/>
                <w:szCs w:val="22"/>
                <w:shd w:val="clear" w:color="auto" w:fill="FFFFFF"/>
              </w:rPr>
              <w:t xml:space="preserve"> and</w:t>
            </w:r>
            <w:r w:rsidRPr="00070000">
              <w:rPr>
                <w:rFonts w:asciiTheme="minorHAnsi" w:hAnsiTheme="minorHAnsi" w:cstheme="minorHAnsi"/>
                <w:color w:val="auto"/>
                <w:sz w:val="22"/>
                <w:szCs w:val="22"/>
                <w:shd w:val="clear" w:color="auto" w:fill="FFFFFF"/>
              </w:rPr>
              <w:t xml:space="preserve"> prevention and management of NCDs</w:t>
            </w:r>
            <w:r w:rsidRPr="00D34F2B">
              <w:rPr>
                <w:rFonts w:asciiTheme="minorHAnsi" w:hAnsiTheme="minorHAnsi" w:cstheme="minorHAnsi"/>
                <w:color w:val="auto"/>
                <w:sz w:val="22"/>
                <w:szCs w:val="22"/>
                <w:shd w:val="clear" w:color="auto" w:fill="FFFFFF"/>
              </w:rPr>
              <w:t xml:space="preserve">. </w:t>
            </w:r>
          </w:p>
          <w:p w14:paraId="523E0085" w14:textId="7DB4A21A" w:rsidR="00186A03" w:rsidRPr="003009C0" w:rsidRDefault="00A01C02" w:rsidP="006B1CEB">
            <w:pPr>
              <w:pStyle w:val="Default"/>
              <w:spacing w:after="120"/>
              <w:jc w:val="both"/>
              <w:rPr>
                <w:rFonts w:asciiTheme="minorHAnsi" w:hAnsiTheme="minorHAnsi" w:cstheme="minorHAnsi"/>
                <w:color w:val="auto"/>
                <w:sz w:val="22"/>
                <w:szCs w:val="22"/>
                <w:highlight w:val="yellow"/>
                <w:shd w:val="clear" w:color="auto" w:fill="FFFFFF"/>
              </w:rPr>
            </w:pPr>
            <w:r w:rsidRPr="00D34F2B">
              <w:rPr>
                <w:rFonts w:asciiTheme="minorHAnsi" w:hAnsiTheme="minorHAnsi" w:cstheme="minorHAnsi"/>
                <w:color w:val="auto"/>
                <w:sz w:val="22"/>
                <w:szCs w:val="22"/>
                <w:shd w:val="clear" w:color="auto" w:fill="FFFFFF"/>
              </w:rPr>
              <w:lastRenderedPageBreak/>
              <w:t xml:space="preserve">Yet, in many instances, the linkages between population ageing and older people and these health issues </w:t>
            </w:r>
            <w:r w:rsidR="007F5FAC">
              <w:rPr>
                <w:rFonts w:asciiTheme="minorHAnsi" w:hAnsiTheme="minorHAnsi" w:cstheme="minorHAnsi"/>
                <w:color w:val="auto"/>
                <w:sz w:val="22"/>
                <w:szCs w:val="22"/>
                <w:shd w:val="clear" w:color="auto" w:fill="FFFFFF"/>
              </w:rPr>
              <w:t>are</w:t>
            </w:r>
            <w:r w:rsidRPr="00D34F2B">
              <w:rPr>
                <w:rFonts w:asciiTheme="minorHAnsi" w:hAnsiTheme="minorHAnsi" w:cstheme="minorHAnsi"/>
                <w:color w:val="auto"/>
                <w:sz w:val="22"/>
                <w:szCs w:val="22"/>
                <w:shd w:val="clear" w:color="auto" w:fill="FFFFFF"/>
              </w:rPr>
              <w:t xml:space="preserve"> not being recognised or sufficiently addressed within </w:t>
            </w:r>
            <w:r w:rsidR="006B1CEB">
              <w:rPr>
                <w:rFonts w:asciiTheme="minorHAnsi" w:hAnsiTheme="minorHAnsi" w:cstheme="minorHAnsi"/>
                <w:color w:val="auto"/>
                <w:sz w:val="22"/>
                <w:szCs w:val="22"/>
                <w:shd w:val="clear" w:color="auto" w:fill="FFFFFF"/>
              </w:rPr>
              <w:t xml:space="preserve">the </w:t>
            </w:r>
            <w:r w:rsidRPr="00D34F2B">
              <w:rPr>
                <w:rFonts w:asciiTheme="minorHAnsi" w:hAnsiTheme="minorHAnsi" w:cstheme="minorHAnsi"/>
                <w:color w:val="auto"/>
                <w:sz w:val="22"/>
                <w:szCs w:val="22"/>
                <w:shd w:val="clear" w:color="auto" w:fill="FFFFFF"/>
              </w:rPr>
              <w:t xml:space="preserve">WHO work at global, </w:t>
            </w:r>
            <w:proofErr w:type="gramStart"/>
            <w:r w:rsidRPr="00D34F2B">
              <w:rPr>
                <w:rFonts w:asciiTheme="minorHAnsi" w:hAnsiTheme="minorHAnsi" w:cstheme="minorHAnsi"/>
                <w:color w:val="auto"/>
                <w:sz w:val="22"/>
                <w:szCs w:val="22"/>
                <w:shd w:val="clear" w:color="auto" w:fill="FFFFFF"/>
              </w:rPr>
              <w:t>regional</w:t>
            </w:r>
            <w:proofErr w:type="gramEnd"/>
            <w:r w:rsidRPr="00D34F2B">
              <w:rPr>
                <w:rFonts w:asciiTheme="minorHAnsi" w:hAnsiTheme="minorHAnsi" w:cstheme="minorHAnsi"/>
                <w:color w:val="auto"/>
                <w:sz w:val="22"/>
                <w:szCs w:val="22"/>
                <w:shd w:val="clear" w:color="auto" w:fill="FFFFFF"/>
              </w:rPr>
              <w:t xml:space="preserve"> and country levels.</w:t>
            </w:r>
            <w:r w:rsidR="00186A03" w:rsidRPr="00D34F2B">
              <w:rPr>
                <w:rFonts w:asciiTheme="minorHAnsi" w:hAnsiTheme="minorHAnsi" w:cstheme="minorHAnsi"/>
                <w:color w:val="auto"/>
                <w:sz w:val="22"/>
                <w:szCs w:val="22"/>
                <w:shd w:val="clear" w:color="auto" w:fill="FFFFFF"/>
              </w:rPr>
              <w:t xml:space="preserve"> </w:t>
            </w:r>
          </w:p>
          <w:p w14:paraId="60436EDC" w14:textId="144CB903" w:rsidR="00186A03" w:rsidRPr="001C59D1" w:rsidRDefault="00186A03" w:rsidP="006B1CEB">
            <w:pPr>
              <w:pStyle w:val="Default"/>
              <w:spacing w:after="120"/>
              <w:jc w:val="both"/>
              <w:rPr>
                <w:rFonts w:asciiTheme="minorHAnsi" w:hAnsiTheme="minorHAnsi" w:cstheme="minorHAnsi"/>
                <w:color w:val="auto"/>
                <w:sz w:val="22"/>
                <w:szCs w:val="22"/>
                <w:shd w:val="clear" w:color="auto" w:fill="FFFFFF"/>
              </w:rPr>
            </w:pPr>
            <w:r w:rsidRPr="001C59D1">
              <w:rPr>
                <w:rFonts w:asciiTheme="minorHAnsi" w:hAnsiTheme="minorHAnsi" w:cstheme="minorHAnsi"/>
                <w:color w:val="auto"/>
                <w:sz w:val="22"/>
                <w:szCs w:val="22"/>
                <w:shd w:val="clear" w:color="auto" w:fill="FFFFFF"/>
              </w:rPr>
              <w:t>It is critical for DG leadership to play a pivotal role in reinforcing the need for strategic action across WHO Departments</w:t>
            </w:r>
            <w:r w:rsidR="00A01C02">
              <w:rPr>
                <w:rFonts w:asciiTheme="minorHAnsi" w:hAnsiTheme="minorHAnsi" w:cstheme="minorHAnsi"/>
                <w:color w:val="auto"/>
                <w:sz w:val="22"/>
                <w:szCs w:val="22"/>
                <w:shd w:val="clear" w:color="auto" w:fill="FFFFFF"/>
              </w:rPr>
              <w:t xml:space="preserve"> and offices,</w:t>
            </w:r>
            <w:r w:rsidRPr="001C59D1">
              <w:rPr>
                <w:rFonts w:asciiTheme="minorHAnsi" w:hAnsiTheme="minorHAnsi" w:cstheme="minorHAnsi"/>
                <w:color w:val="auto"/>
                <w:sz w:val="22"/>
                <w:szCs w:val="22"/>
                <w:shd w:val="clear" w:color="auto" w:fill="FFFFFF"/>
              </w:rPr>
              <w:t xml:space="preserve"> with a common goal of improving the health (in the broadest sense) and well being of older people, and protecting their rights, during and living with the impact of the pandemic.</w:t>
            </w:r>
            <w:r w:rsidR="00032F9B">
              <w:rPr>
                <w:rFonts w:asciiTheme="minorHAnsi" w:hAnsiTheme="minorHAnsi" w:cstheme="minorHAnsi"/>
                <w:color w:val="auto"/>
                <w:sz w:val="22"/>
                <w:szCs w:val="22"/>
                <w:shd w:val="clear" w:color="auto" w:fill="FFFFFF"/>
              </w:rPr>
              <w:t xml:space="preserve"> </w:t>
            </w:r>
            <w:r w:rsidR="006B1CEB">
              <w:rPr>
                <w:rFonts w:asciiTheme="minorHAnsi" w:hAnsiTheme="minorHAnsi" w:cstheme="minorHAnsi"/>
                <w:color w:val="auto"/>
                <w:sz w:val="22"/>
                <w:szCs w:val="22"/>
                <w:shd w:val="clear" w:color="auto" w:fill="FFFFFF"/>
              </w:rPr>
              <w:t xml:space="preserve"> </w:t>
            </w:r>
            <w:r w:rsidR="00032F9B">
              <w:rPr>
                <w:rFonts w:asciiTheme="minorHAnsi" w:hAnsiTheme="minorHAnsi" w:cstheme="minorHAnsi"/>
                <w:color w:val="auto"/>
                <w:sz w:val="22"/>
                <w:szCs w:val="22"/>
                <w:shd w:val="clear" w:color="auto" w:fill="FFFFFF"/>
              </w:rPr>
              <w:t>Collaboration with CSOs across disciplines and sectors, and the meaningful engagement of older people, will be key to the achievement of this goal.</w:t>
            </w:r>
            <w:r w:rsidRPr="001C59D1">
              <w:rPr>
                <w:rFonts w:asciiTheme="minorHAnsi" w:hAnsiTheme="minorHAnsi" w:cstheme="minorHAnsi"/>
                <w:color w:val="auto"/>
                <w:sz w:val="22"/>
                <w:szCs w:val="22"/>
                <w:shd w:val="clear" w:color="auto" w:fill="FFFFFF"/>
              </w:rPr>
              <w:t xml:space="preserve">  </w:t>
            </w:r>
          </w:p>
          <w:p w14:paraId="2B497006" w14:textId="35E99065" w:rsidR="00EE0351" w:rsidRPr="001C59D1" w:rsidRDefault="0006248F" w:rsidP="006B1CEB">
            <w:pPr>
              <w:pStyle w:val="Default"/>
              <w:spacing w:after="120"/>
              <w:jc w:val="both"/>
              <w:rPr>
                <w:lang w:val="en-GB"/>
              </w:rPr>
            </w:pPr>
            <w:r>
              <w:rPr>
                <w:sz w:val="22"/>
                <w:szCs w:val="22"/>
                <w:lang w:val="en-GB"/>
              </w:rPr>
              <w:t>S</w:t>
            </w:r>
            <w:r w:rsidR="00B445EF" w:rsidRPr="001C59D1">
              <w:rPr>
                <w:sz w:val="22"/>
                <w:szCs w:val="22"/>
                <w:lang w:val="en-GB"/>
              </w:rPr>
              <w:t xml:space="preserve">trong </w:t>
            </w:r>
            <w:r w:rsidR="0019183C" w:rsidRPr="001C59D1">
              <w:rPr>
                <w:sz w:val="22"/>
                <w:szCs w:val="22"/>
                <w:lang w:val="en-GB"/>
              </w:rPr>
              <w:t>leadership</w:t>
            </w:r>
            <w:r>
              <w:rPr>
                <w:sz w:val="22"/>
                <w:szCs w:val="22"/>
                <w:lang w:val="en-GB"/>
              </w:rPr>
              <w:t xml:space="preserve"> is needed to maximise the potential of the Decade of Healthy Ageing. </w:t>
            </w:r>
            <w:r w:rsidR="006B1CEB">
              <w:rPr>
                <w:sz w:val="22"/>
                <w:szCs w:val="22"/>
                <w:lang w:val="en-GB"/>
              </w:rPr>
              <w:t xml:space="preserve"> </w:t>
            </w:r>
            <w:r w:rsidR="005C1009" w:rsidRPr="008D61A6">
              <w:rPr>
                <w:sz w:val="22"/>
                <w:szCs w:val="22"/>
                <w:lang w:val="en-GB"/>
              </w:rPr>
              <w:t>We must seize the opportunities of the Decade</w:t>
            </w:r>
            <w:r w:rsidR="005C1009" w:rsidRPr="00D34F2B">
              <w:rPr>
                <w:sz w:val="22"/>
                <w:szCs w:val="22"/>
              </w:rPr>
              <w:t xml:space="preserve"> </w:t>
            </w:r>
            <w:r w:rsidR="008D61A6">
              <w:rPr>
                <w:sz w:val="22"/>
                <w:szCs w:val="22"/>
              </w:rPr>
              <w:t xml:space="preserve">and realise </w:t>
            </w:r>
            <w:r w:rsidR="00556493">
              <w:rPr>
                <w:sz w:val="22"/>
                <w:szCs w:val="22"/>
              </w:rPr>
              <w:t>i</w:t>
            </w:r>
            <w:r w:rsidR="008D61A6">
              <w:rPr>
                <w:sz w:val="22"/>
                <w:szCs w:val="22"/>
              </w:rPr>
              <w:t>t</w:t>
            </w:r>
            <w:r w:rsidR="00556493">
              <w:rPr>
                <w:sz w:val="22"/>
                <w:szCs w:val="22"/>
              </w:rPr>
              <w:t>s</w:t>
            </w:r>
            <w:r w:rsidR="008D61A6">
              <w:rPr>
                <w:sz w:val="22"/>
                <w:szCs w:val="22"/>
              </w:rPr>
              <w:t xml:space="preserve"> p</w:t>
            </w:r>
            <w:r w:rsidR="005C1009" w:rsidRPr="00D34F2B">
              <w:rPr>
                <w:sz w:val="22"/>
                <w:szCs w:val="22"/>
              </w:rPr>
              <w:t xml:space="preserve">otential </w:t>
            </w:r>
            <w:r w:rsidR="00B64D93">
              <w:rPr>
                <w:sz w:val="22"/>
                <w:szCs w:val="22"/>
              </w:rPr>
              <w:t xml:space="preserve">for current and future generations of older people. </w:t>
            </w:r>
          </w:p>
        </w:tc>
      </w:tr>
      <w:tr w:rsidR="00EE0351" w:rsidRPr="00B055A4" w14:paraId="43610CC1" w14:textId="77777777" w:rsidTr="00070000">
        <w:tc>
          <w:tcPr>
            <w:tcW w:w="9016" w:type="dxa"/>
            <w:gridSpan w:val="2"/>
          </w:tcPr>
          <w:p w14:paraId="0ACC654C" w14:textId="67CC128C" w:rsidR="00EE0351" w:rsidRPr="0019183C" w:rsidRDefault="00EE0351" w:rsidP="00070000">
            <w:pPr>
              <w:pStyle w:val="Default"/>
              <w:spacing w:after="120"/>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Systemic considerations</w:t>
            </w:r>
          </w:p>
          <w:p w14:paraId="4218C7BC" w14:textId="73BCE4AC" w:rsidR="00EE0351" w:rsidRPr="00AC5C46" w:rsidRDefault="00EE0351" w:rsidP="001C59D1">
            <w:pPr>
              <w:spacing w:after="120"/>
              <w:jc w:val="both"/>
              <w:rPr>
                <w:lang w:val="en-GB"/>
              </w:rPr>
            </w:pPr>
            <w:r>
              <w:rPr>
                <w:lang w:val="en-GB"/>
              </w:rPr>
              <w:t>The h</w:t>
            </w:r>
            <w:r w:rsidRPr="00AC5C46">
              <w:rPr>
                <w:lang w:val="en-GB"/>
              </w:rPr>
              <w:t>ealth</w:t>
            </w:r>
            <w:r>
              <w:rPr>
                <w:lang w:val="en-GB"/>
              </w:rPr>
              <w:t xml:space="preserve">, wellbeing </w:t>
            </w:r>
            <w:r w:rsidRPr="00AC5C46">
              <w:rPr>
                <w:lang w:val="en-GB"/>
              </w:rPr>
              <w:t>and functional ability of all citizens</w:t>
            </w:r>
            <w:r>
              <w:rPr>
                <w:lang w:val="en-GB"/>
              </w:rPr>
              <w:t>, and especially older people must be at the forefront of a serious review of the systems in which policy and programs within and external to WHO are developed</w:t>
            </w:r>
            <w:r w:rsidRPr="00AC5C46">
              <w:rPr>
                <w:lang w:val="en-GB"/>
              </w:rPr>
              <w:t xml:space="preserve">.  </w:t>
            </w:r>
            <w:r>
              <w:rPr>
                <w:rFonts w:cs="Arial"/>
              </w:rPr>
              <w:t>L</w:t>
            </w:r>
            <w:r w:rsidRPr="00AC5C46">
              <w:rPr>
                <w:rFonts w:cs="Arial"/>
              </w:rPr>
              <w:t xml:space="preserve">ives, livelihoods and economies </w:t>
            </w:r>
            <w:r>
              <w:rPr>
                <w:rFonts w:cs="Arial"/>
              </w:rPr>
              <w:t xml:space="preserve">are </w:t>
            </w:r>
            <w:r w:rsidRPr="00AC5C46">
              <w:rPr>
                <w:rFonts w:cs="Arial"/>
              </w:rPr>
              <w:t>in jeopardy</w:t>
            </w:r>
            <w:r w:rsidRPr="00AC5C46">
              <w:rPr>
                <w:lang w:val="en-GB"/>
              </w:rPr>
              <w:t xml:space="preserve"> </w:t>
            </w:r>
            <w:r>
              <w:rPr>
                <w:lang w:val="en-GB"/>
              </w:rPr>
              <w:t xml:space="preserve">when people and the systems in which they </w:t>
            </w:r>
            <w:proofErr w:type="gramStart"/>
            <w:r>
              <w:rPr>
                <w:lang w:val="en-GB"/>
              </w:rPr>
              <w:t>live</w:t>
            </w:r>
            <w:proofErr w:type="gramEnd"/>
            <w:r>
              <w:rPr>
                <w:lang w:val="en-GB"/>
              </w:rPr>
              <w:t xml:space="preserve"> and work are disconnected or do not have a common agenda.  </w:t>
            </w:r>
          </w:p>
          <w:p w14:paraId="121E4544" w14:textId="77777777" w:rsidR="00496887" w:rsidRDefault="00032F9B" w:rsidP="00070000">
            <w:pPr>
              <w:spacing w:after="120"/>
              <w:jc w:val="both"/>
              <w:rPr>
                <w:lang w:val="en-GB"/>
              </w:rPr>
            </w:pPr>
            <w:r>
              <w:rPr>
                <w:lang w:val="en-GB"/>
              </w:rPr>
              <w:t xml:space="preserve">The COVID-19 pandemic has exposed our lack of preparedness to respond to the needs of </w:t>
            </w:r>
            <w:r w:rsidR="006B1CEB">
              <w:rPr>
                <w:lang w:val="en-GB"/>
              </w:rPr>
              <w:t>ageing populations</w:t>
            </w:r>
            <w:r>
              <w:rPr>
                <w:lang w:val="en-GB"/>
              </w:rPr>
              <w:t xml:space="preserve">. </w:t>
            </w:r>
            <w:r w:rsidR="006B1CEB">
              <w:rPr>
                <w:lang w:val="en-GB"/>
              </w:rPr>
              <w:t xml:space="preserve"> </w:t>
            </w:r>
            <w:r>
              <w:rPr>
                <w:lang w:val="en-GB"/>
              </w:rPr>
              <w:t>Health systems have been put under enormous pressure and the shortcomings of long</w:t>
            </w:r>
            <w:r w:rsidR="006B1CEB">
              <w:rPr>
                <w:lang w:val="en-GB"/>
              </w:rPr>
              <w:t>-</w:t>
            </w:r>
            <w:r>
              <w:rPr>
                <w:lang w:val="en-GB"/>
              </w:rPr>
              <w:t xml:space="preserve">term care and support systems, often due to lack of prioritisation, </w:t>
            </w:r>
            <w:proofErr w:type="gramStart"/>
            <w:r>
              <w:rPr>
                <w:lang w:val="en-GB"/>
              </w:rPr>
              <w:t>funding</w:t>
            </w:r>
            <w:proofErr w:type="gramEnd"/>
            <w:r>
              <w:rPr>
                <w:lang w:val="en-GB"/>
              </w:rPr>
              <w:t xml:space="preserve"> and regulation, have been laid bare. </w:t>
            </w:r>
            <w:r w:rsidR="006B1CEB">
              <w:rPr>
                <w:lang w:val="en-GB"/>
              </w:rPr>
              <w:t xml:space="preserve"> </w:t>
            </w:r>
          </w:p>
          <w:p w14:paraId="39070073" w14:textId="396A27FF" w:rsidR="006B1CEB" w:rsidRDefault="00032F9B" w:rsidP="00070000">
            <w:pPr>
              <w:spacing w:after="120"/>
              <w:jc w:val="both"/>
              <w:rPr>
                <w:lang w:val="en-GB"/>
              </w:rPr>
            </w:pPr>
            <w:r>
              <w:rPr>
                <w:lang w:val="en-GB"/>
              </w:rPr>
              <w:t>Pervasive ageist attitudes have come to the fore</w:t>
            </w:r>
            <w:r w:rsidR="0005678D">
              <w:rPr>
                <w:lang w:val="en-GB"/>
              </w:rPr>
              <w:t xml:space="preserve"> in the narrative of the pandemic,</w:t>
            </w:r>
            <w:r>
              <w:rPr>
                <w:lang w:val="en-GB"/>
              </w:rPr>
              <w:t xml:space="preserve"> with older people routinely labelled as ‘vulnerable’ </w:t>
            </w:r>
            <w:r w:rsidR="0005678D">
              <w:rPr>
                <w:lang w:val="en-GB"/>
              </w:rPr>
              <w:t>and common suggestions that we should be less concerned about COVID-19 because ‘only older people are dying’.</w:t>
            </w:r>
            <w:r>
              <w:rPr>
                <w:lang w:val="en-GB"/>
              </w:rPr>
              <w:t xml:space="preserve"> </w:t>
            </w:r>
            <w:r w:rsidR="006B1CEB">
              <w:rPr>
                <w:lang w:val="en-GB"/>
              </w:rPr>
              <w:t xml:space="preserve"> </w:t>
            </w:r>
            <w:r w:rsidR="00496887">
              <w:rPr>
                <w:lang w:val="en-GB"/>
              </w:rPr>
              <w:t>In many respects t</w:t>
            </w:r>
            <w:r w:rsidR="00496887" w:rsidRPr="00AC5C46">
              <w:rPr>
                <w:lang w:val="en-GB"/>
              </w:rPr>
              <w:t xml:space="preserve">he rituals and rites of passage of humanity </w:t>
            </w:r>
            <w:r w:rsidR="00496887">
              <w:rPr>
                <w:lang w:val="en-GB"/>
              </w:rPr>
              <w:t xml:space="preserve">have long been trivialized – the global pandemic has only brought to the open the dehumanization of care and the process of dying and grief.  </w:t>
            </w:r>
          </w:p>
          <w:p w14:paraId="553D2CE1" w14:textId="77777777" w:rsidR="00064FB4" w:rsidRDefault="00496887" w:rsidP="00070000">
            <w:pPr>
              <w:spacing w:after="120"/>
              <w:jc w:val="both"/>
              <w:rPr>
                <w:lang w:val="en-GB"/>
              </w:rPr>
            </w:pPr>
            <w:r>
              <w:rPr>
                <w:lang w:val="en-GB"/>
              </w:rPr>
              <w:t xml:space="preserve">Yet </w:t>
            </w:r>
            <w:r w:rsidR="007F5FAC">
              <w:rPr>
                <w:lang w:val="en-GB"/>
              </w:rPr>
              <w:t xml:space="preserve">at community level </w:t>
            </w:r>
            <w:r>
              <w:rPr>
                <w:lang w:val="en-GB"/>
              </w:rPr>
              <w:t>there are shining example</w:t>
            </w:r>
            <w:r w:rsidR="0049578E">
              <w:rPr>
                <w:lang w:val="en-GB"/>
              </w:rPr>
              <w:t>s</w:t>
            </w:r>
            <w:r>
              <w:rPr>
                <w:lang w:val="en-GB"/>
              </w:rPr>
              <w:t xml:space="preserve"> of the voice and power of older people</w:t>
            </w:r>
            <w:r w:rsidR="007F5FAC">
              <w:rPr>
                <w:lang w:val="en-GB"/>
              </w:rPr>
              <w:t xml:space="preserve">. </w:t>
            </w:r>
            <w:r>
              <w:rPr>
                <w:lang w:val="en-GB"/>
              </w:rPr>
              <w:t xml:space="preserve"> E</w:t>
            </w:r>
            <w:r w:rsidR="006B1CEB">
              <w:rPr>
                <w:lang w:val="en-GB"/>
              </w:rPr>
              <w:t xml:space="preserve">nvironments created to enable older people to do what they value, vis a vis age-friendly cities and communities have </w:t>
            </w:r>
            <w:r w:rsidR="009361A6">
              <w:rPr>
                <w:lang w:val="en-GB"/>
              </w:rPr>
              <w:t>provided</w:t>
            </w:r>
            <w:r w:rsidR="006B1CEB">
              <w:rPr>
                <w:lang w:val="en-GB"/>
              </w:rPr>
              <w:t xml:space="preserve"> </w:t>
            </w:r>
            <w:r w:rsidR="009361A6">
              <w:rPr>
                <w:lang w:val="en-GB"/>
              </w:rPr>
              <w:t xml:space="preserve">a strong foundation </w:t>
            </w:r>
            <w:r w:rsidR="00064FB4">
              <w:rPr>
                <w:lang w:val="en-GB"/>
              </w:rPr>
              <w:t xml:space="preserve">in the pandemic </w:t>
            </w:r>
            <w:r w:rsidR="009361A6">
              <w:rPr>
                <w:lang w:val="en-GB"/>
              </w:rPr>
              <w:t>respon</w:t>
            </w:r>
            <w:r w:rsidR="00064FB4">
              <w:rPr>
                <w:lang w:val="en-GB"/>
              </w:rPr>
              <w:t>se</w:t>
            </w:r>
            <w:r w:rsidR="009361A6">
              <w:rPr>
                <w:lang w:val="en-GB"/>
              </w:rPr>
              <w:t>.</w:t>
            </w:r>
            <w:r w:rsidR="007F623C">
              <w:rPr>
                <w:lang w:val="en-GB"/>
              </w:rPr>
              <w:t xml:space="preserve"> </w:t>
            </w:r>
            <w:r w:rsidR="00064FB4">
              <w:rPr>
                <w:lang w:val="en-GB"/>
              </w:rPr>
              <w:t xml:space="preserve"> </w:t>
            </w:r>
            <w:r w:rsidR="007F623C">
              <w:rPr>
                <w:lang w:val="en-GB"/>
              </w:rPr>
              <w:t xml:space="preserve">Governments co designing and working with civil society can </w:t>
            </w:r>
            <w:r w:rsidR="00C31C8C">
              <w:rPr>
                <w:lang w:val="en-GB"/>
              </w:rPr>
              <w:t xml:space="preserve">bring benefits for people of all ages. </w:t>
            </w:r>
            <w:r w:rsidR="00FF536F">
              <w:rPr>
                <w:lang w:val="en-GB"/>
              </w:rPr>
              <w:t xml:space="preserve"> </w:t>
            </w:r>
          </w:p>
          <w:p w14:paraId="378D50C9" w14:textId="25269AC2" w:rsidR="00EE0351" w:rsidRPr="00927FC5" w:rsidRDefault="00496887" w:rsidP="00070000">
            <w:pPr>
              <w:spacing w:after="120"/>
              <w:jc w:val="both"/>
              <w:rPr>
                <w:lang w:val="en-GB"/>
              </w:rPr>
            </w:pPr>
            <w:r>
              <w:rPr>
                <w:lang w:val="en-GB"/>
              </w:rPr>
              <w:t>I</w:t>
            </w:r>
            <w:r w:rsidR="00EE0351" w:rsidRPr="00AC5C46">
              <w:rPr>
                <w:lang w:val="en-GB"/>
              </w:rPr>
              <w:t>t is critical that systems (the ways of thinking and working</w:t>
            </w:r>
            <w:r w:rsidR="00EE0351">
              <w:rPr>
                <w:lang w:val="en-GB"/>
              </w:rPr>
              <w:t xml:space="preserve"> within and external to WHO</w:t>
            </w:r>
            <w:r w:rsidR="00EE0351" w:rsidRPr="00AC5C46">
              <w:rPr>
                <w:lang w:val="en-GB"/>
              </w:rPr>
              <w:t xml:space="preserve">) </w:t>
            </w:r>
            <w:r w:rsidR="00064FB4">
              <w:rPr>
                <w:lang w:val="en-GB"/>
              </w:rPr>
              <w:t xml:space="preserve">are critically reviewed to </w:t>
            </w:r>
            <w:r w:rsidR="00EE0351" w:rsidRPr="00AC5C46">
              <w:rPr>
                <w:lang w:val="en-GB"/>
              </w:rPr>
              <w:t>achieve stronger</w:t>
            </w:r>
            <w:r w:rsidR="00EE0351">
              <w:rPr>
                <w:lang w:val="en-GB"/>
              </w:rPr>
              <w:t xml:space="preserve"> and </w:t>
            </w:r>
            <w:r w:rsidR="00EE0351" w:rsidRPr="00AC5C46">
              <w:rPr>
                <w:lang w:val="en-GB"/>
              </w:rPr>
              <w:t xml:space="preserve">more tangible results for </w:t>
            </w:r>
            <w:r w:rsidR="00FF536F">
              <w:rPr>
                <w:lang w:val="en-GB"/>
              </w:rPr>
              <w:t>all older people globally</w:t>
            </w:r>
            <w:r w:rsidR="00EE0351">
              <w:rPr>
                <w:lang w:val="en-GB"/>
              </w:rPr>
              <w:t>, preserving their dignity to the very end.</w:t>
            </w:r>
            <w:r w:rsidR="00EE0351" w:rsidRPr="00AC5C46">
              <w:rPr>
                <w:lang w:val="en-GB"/>
              </w:rPr>
              <w:t xml:space="preserve"> </w:t>
            </w:r>
            <w:r w:rsidR="00EE0351">
              <w:rPr>
                <w:lang w:val="en-GB"/>
              </w:rPr>
              <w:t xml:space="preserve"> </w:t>
            </w:r>
          </w:p>
        </w:tc>
      </w:tr>
      <w:tr w:rsidR="00B055A4" w:rsidRPr="003A7C15" w14:paraId="230309F1" w14:textId="77777777" w:rsidTr="00BB172C">
        <w:tc>
          <w:tcPr>
            <w:tcW w:w="9016" w:type="dxa"/>
            <w:gridSpan w:val="2"/>
          </w:tcPr>
          <w:p w14:paraId="7A4DD7F3" w14:textId="0419BA48" w:rsidR="00AB08F6" w:rsidRPr="0019183C" w:rsidRDefault="00EE0351" w:rsidP="001C59D1">
            <w:pPr>
              <w:pStyle w:val="Default"/>
              <w:spacing w:after="120"/>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Lightning Talks </w:t>
            </w:r>
          </w:p>
          <w:p w14:paraId="64D52ABD" w14:textId="7462FC2F" w:rsidR="00042AE3" w:rsidRDefault="00DB7C44" w:rsidP="002936EE">
            <w:pPr>
              <w:spacing w:after="120"/>
              <w:jc w:val="both"/>
              <w:rPr>
                <w:lang w:val="en-GB"/>
              </w:rPr>
            </w:pPr>
            <w:bookmarkStart w:id="0" w:name="_Hlk54781261"/>
            <w:r>
              <w:rPr>
                <w:lang w:val="en-GB"/>
              </w:rPr>
              <w:t>Ageing</w:t>
            </w:r>
            <w:r w:rsidR="00ED1E21">
              <w:rPr>
                <w:lang w:val="en-GB"/>
              </w:rPr>
              <w:t xml:space="preserve"> connects with a range of technical issues addressed by WHO</w:t>
            </w:r>
            <w:r w:rsidR="00E80E7E">
              <w:rPr>
                <w:lang w:val="en-GB"/>
              </w:rPr>
              <w:t xml:space="preserve">, yet too often the global health community </w:t>
            </w:r>
            <w:r w:rsidR="00B722AE">
              <w:rPr>
                <w:lang w:val="en-GB"/>
              </w:rPr>
              <w:t>struggles to see or act on these connections</w:t>
            </w:r>
            <w:r w:rsidR="00E47A78">
              <w:rPr>
                <w:lang w:val="en-GB"/>
              </w:rPr>
              <w:t xml:space="preserve">, failing to </w:t>
            </w:r>
            <w:r w:rsidR="00895F71">
              <w:rPr>
                <w:lang w:val="en-GB"/>
              </w:rPr>
              <w:t>take a holistic, life course approach to health</w:t>
            </w:r>
            <w:r w:rsidR="00B722AE">
              <w:rPr>
                <w:lang w:val="en-GB"/>
              </w:rPr>
              <w:t xml:space="preserve">. </w:t>
            </w:r>
            <w:r w:rsidR="00042AE3">
              <w:rPr>
                <w:lang w:val="en-GB"/>
              </w:rPr>
              <w:t xml:space="preserve"> </w:t>
            </w:r>
            <w:r w:rsidR="00B722AE">
              <w:rPr>
                <w:lang w:val="en-GB"/>
              </w:rPr>
              <w:t xml:space="preserve">COVID-19 has made visible </w:t>
            </w:r>
            <w:r w:rsidR="00E1495A">
              <w:rPr>
                <w:lang w:val="en-GB"/>
              </w:rPr>
              <w:t xml:space="preserve">the importance of protecting and ensuring older people’s right to </w:t>
            </w:r>
            <w:r w:rsidR="00042AE3">
              <w:rPr>
                <w:lang w:val="en-GB"/>
              </w:rPr>
              <w:t xml:space="preserve">not only </w:t>
            </w:r>
            <w:r w:rsidR="00E1495A">
              <w:rPr>
                <w:lang w:val="en-GB"/>
              </w:rPr>
              <w:t>health</w:t>
            </w:r>
            <w:r w:rsidR="00042AE3">
              <w:rPr>
                <w:lang w:val="en-GB"/>
              </w:rPr>
              <w:t xml:space="preserve"> but to</w:t>
            </w:r>
            <w:r w:rsidR="00B445EF">
              <w:rPr>
                <w:lang w:val="en-GB"/>
              </w:rPr>
              <w:t xml:space="preserve"> create</w:t>
            </w:r>
            <w:r w:rsidR="0005678D">
              <w:rPr>
                <w:lang w:val="en-GB"/>
              </w:rPr>
              <w:t xml:space="preserve"> and</w:t>
            </w:r>
            <w:r w:rsidR="00042AE3">
              <w:rPr>
                <w:lang w:val="en-GB"/>
              </w:rPr>
              <w:t xml:space="preserve"> live in environment</w:t>
            </w:r>
            <w:r w:rsidR="00B445EF">
              <w:rPr>
                <w:lang w:val="en-GB"/>
              </w:rPr>
              <w:t>s</w:t>
            </w:r>
            <w:r w:rsidR="00042AE3">
              <w:rPr>
                <w:lang w:val="en-GB"/>
              </w:rPr>
              <w:t xml:space="preserve"> that enable them to do what they have reason to value.  </w:t>
            </w:r>
          </w:p>
          <w:bookmarkEnd w:id="0"/>
          <w:p w14:paraId="4960BD1E" w14:textId="4DDEC168" w:rsidR="000E3F06" w:rsidRDefault="006F1DBE" w:rsidP="001C59D1">
            <w:pPr>
              <w:spacing w:after="120"/>
              <w:jc w:val="both"/>
              <w:rPr>
                <w:lang w:val="en-GB"/>
              </w:rPr>
            </w:pPr>
            <w:r>
              <w:rPr>
                <w:lang w:val="en-GB"/>
              </w:rPr>
              <w:t xml:space="preserve">The pandemic and what it </w:t>
            </w:r>
            <w:proofErr w:type="gramStart"/>
            <w:r>
              <w:rPr>
                <w:lang w:val="en-GB"/>
              </w:rPr>
              <w:t>has</w:t>
            </w:r>
            <w:proofErr w:type="gramEnd"/>
            <w:r>
              <w:rPr>
                <w:lang w:val="en-GB"/>
              </w:rPr>
              <w:t xml:space="preserve"> exposed</w:t>
            </w:r>
            <w:r w:rsidR="0005678D">
              <w:rPr>
                <w:lang w:val="en-GB"/>
              </w:rPr>
              <w:t>,</w:t>
            </w:r>
            <w:r>
              <w:rPr>
                <w:lang w:val="en-GB"/>
              </w:rPr>
              <w:t xml:space="preserve"> </w:t>
            </w:r>
            <w:r w:rsidR="00FF536F">
              <w:rPr>
                <w:lang w:val="en-GB"/>
              </w:rPr>
              <w:t>urgently calls for specific actions and milestones</w:t>
            </w:r>
            <w:r w:rsidR="00442C6C">
              <w:rPr>
                <w:lang w:val="en-GB"/>
              </w:rPr>
              <w:t xml:space="preserve"> </w:t>
            </w:r>
            <w:r w:rsidR="00FF536F">
              <w:rPr>
                <w:lang w:val="en-GB"/>
              </w:rPr>
              <w:t xml:space="preserve">framed by and within </w:t>
            </w:r>
            <w:r w:rsidR="00042AE3">
              <w:rPr>
                <w:lang w:val="en-GB"/>
              </w:rPr>
              <w:t xml:space="preserve">the four action areas of the </w:t>
            </w:r>
            <w:r w:rsidR="00442C6C">
              <w:rPr>
                <w:lang w:val="en-GB"/>
              </w:rPr>
              <w:t>Decade of Healthy Ageing</w:t>
            </w:r>
            <w:r w:rsidR="00FF536F">
              <w:rPr>
                <w:lang w:val="en-GB"/>
              </w:rPr>
              <w:t xml:space="preserve"> within the Global Programme of Work</w:t>
            </w:r>
            <w:r w:rsidR="00042AE3">
              <w:rPr>
                <w:lang w:val="en-GB"/>
              </w:rPr>
              <w:t xml:space="preserve">.  </w:t>
            </w:r>
            <w:r w:rsidR="0031095A">
              <w:rPr>
                <w:lang w:val="en-GB"/>
              </w:rPr>
              <w:t xml:space="preserve">The technical issues addressed in this roundtable </w:t>
            </w:r>
            <w:r w:rsidR="00B445EF">
              <w:rPr>
                <w:lang w:val="en-GB"/>
              </w:rPr>
              <w:t>are</w:t>
            </w:r>
            <w:r w:rsidR="00BF3342">
              <w:rPr>
                <w:lang w:val="en-GB"/>
              </w:rPr>
              <w:t xml:space="preserve"> </w:t>
            </w:r>
            <w:r w:rsidR="00DB7C44">
              <w:rPr>
                <w:lang w:val="en-GB"/>
              </w:rPr>
              <w:t>embedded in</w:t>
            </w:r>
            <w:r w:rsidR="00BF3342">
              <w:rPr>
                <w:lang w:val="en-GB"/>
              </w:rPr>
              <w:t xml:space="preserve"> and delivered through</w:t>
            </w:r>
            <w:r w:rsidR="00DB7C44">
              <w:rPr>
                <w:lang w:val="en-GB"/>
              </w:rPr>
              <w:t xml:space="preserve"> the </w:t>
            </w:r>
            <w:r w:rsidR="000E3F06">
              <w:rPr>
                <w:lang w:val="en-GB"/>
              </w:rPr>
              <w:t>universal health c</w:t>
            </w:r>
            <w:r w:rsidR="00BF3342">
              <w:rPr>
                <w:lang w:val="en-GB"/>
              </w:rPr>
              <w:t>overage</w:t>
            </w:r>
            <w:r w:rsidR="000E3F06">
              <w:rPr>
                <w:lang w:val="en-GB"/>
              </w:rPr>
              <w:t xml:space="preserve"> </w:t>
            </w:r>
            <w:r w:rsidR="00DB7C44">
              <w:rPr>
                <w:lang w:val="en-GB"/>
              </w:rPr>
              <w:t xml:space="preserve">framework </w:t>
            </w:r>
            <w:r w:rsidR="000E3F06">
              <w:rPr>
                <w:lang w:val="en-GB"/>
              </w:rPr>
              <w:t xml:space="preserve">and viewed through the lens of </w:t>
            </w:r>
            <w:r w:rsidR="00DB7C44">
              <w:rPr>
                <w:lang w:val="en-GB"/>
              </w:rPr>
              <w:t xml:space="preserve">migration, </w:t>
            </w:r>
            <w:r w:rsidR="000E3F06">
              <w:rPr>
                <w:lang w:val="en-GB"/>
              </w:rPr>
              <w:t>culture</w:t>
            </w:r>
            <w:r w:rsidR="00612927">
              <w:rPr>
                <w:lang w:val="en-GB"/>
              </w:rPr>
              <w:t>, race/ethnicity</w:t>
            </w:r>
            <w:r w:rsidR="00BF3342">
              <w:rPr>
                <w:lang w:val="en-GB"/>
              </w:rPr>
              <w:t>,</w:t>
            </w:r>
            <w:r w:rsidR="000E3F06">
              <w:rPr>
                <w:lang w:val="en-GB"/>
              </w:rPr>
              <w:t xml:space="preserve"> gender</w:t>
            </w:r>
            <w:r w:rsidR="00805890">
              <w:rPr>
                <w:lang w:val="en-GB"/>
              </w:rPr>
              <w:t xml:space="preserve">, </w:t>
            </w:r>
            <w:proofErr w:type="gramStart"/>
            <w:r w:rsidR="00805890">
              <w:rPr>
                <w:lang w:val="en-GB"/>
              </w:rPr>
              <w:t>ability</w:t>
            </w:r>
            <w:proofErr w:type="gramEnd"/>
            <w:r w:rsidR="00612927">
              <w:rPr>
                <w:lang w:val="en-GB"/>
              </w:rPr>
              <w:t xml:space="preserve"> and inequalities</w:t>
            </w:r>
            <w:r w:rsidR="00612927" w:rsidRPr="00064FB4">
              <w:rPr>
                <w:lang w:val="en-GB"/>
              </w:rPr>
              <w:t>.</w:t>
            </w:r>
            <w:r w:rsidR="003F25AF" w:rsidRPr="00064FB4">
              <w:rPr>
                <w:lang w:val="en-GB"/>
              </w:rPr>
              <w:t xml:space="preserve"> </w:t>
            </w:r>
            <w:r w:rsidR="00FF536F" w:rsidRPr="00064FB4">
              <w:rPr>
                <w:lang w:val="en-GB"/>
              </w:rPr>
              <w:t xml:space="preserve"> </w:t>
            </w:r>
            <w:r w:rsidR="003F25AF" w:rsidRPr="00064FB4">
              <w:rPr>
                <w:lang w:val="en-GB"/>
              </w:rPr>
              <w:t>The meaningful engagement of older people must also be central</w:t>
            </w:r>
            <w:r w:rsidR="00B2755B" w:rsidRPr="00064FB4">
              <w:rPr>
                <w:lang w:val="en-GB"/>
              </w:rPr>
              <w:t xml:space="preserve"> to all efforts</w:t>
            </w:r>
            <w:r w:rsidR="007F5FAC" w:rsidRPr="00064FB4">
              <w:rPr>
                <w:lang w:val="en-GB"/>
              </w:rPr>
              <w:t xml:space="preserve"> – after all, preceding the new coronavirus global crisis the world was already going through other pandemics - that of loneliness</w:t>
            </w:r>
            <w:r w:rsidR="00FF536F" w:rsidRPr="00064FB4">
              <w:rPr>
                <w:lang w:val="en-GB"/>
              </w:rPr>
              <w:t xml:space="preserve"> and </w:t>
            </w:r>
            <w:r w:rsidR="00FF536F" w:rsidRPr="00064FB4">
              <w:rPr>
                <w:color w:val="FF0000"/>
                <w:lang w:val="en-GB"/>
              </w:rPr>
              <w:t>social isolation</w:t>
            </w:r>
            <w:r w:rsidR="007F5FAC" w:rsidRPr="00064FB4">
              <w:rPr>
                <w:lang w:val="en-GB"/>
              </w:rPr>
              <w:t>.  The required physical distancing imposed by COVID-19 has only made it worse.</w:t>
            </w:r>
          </w:p>
          <w:p w14:paraId="75AE9250" w14:textId="77777777" w:rsidR="0049578E" w:rsidRDefault="0049578E" w:rsidP="001C59D1">
            <w:pPr>
              <w:spacing w:after="120"/>
              <w:jc w:val="both"/>
              <w:rPr>
                <w:lang w:val="en-GB"/>
              </w:rPr>
            </w:pPr>
          </w:p>
          <w:p w14:paraId="1749F08E" w14:textId="77777777" w:rsidR="00064FB4" w:rsidRDefault="00396F7D" w:rsidP="00064FB4">
            <w:pPr>
              <w:spacing w:after="60"/>
              <w:jc w:val="both"/>
              <w:rPr>
                <w:rFonts w:eastAsia="Times New Roman"/>
                <w:lang w:val="en-GB"/>
              </w:rPr>
            </w:pPr>
            <w:r w:rsidRPr="00064FB4">
              <w:rPr>
                <w:rFonts w:eastAsia="Times New Roman"/>
                <w:lang w:val="en-GB"/>
              </w:rPr>
              <w:lastRenderedPageBreak/>
              <w:t>Voice of older people in COVID-19</w:t>
            </w:r>
          </w:p>
          <w:p w14:paraId="49EF17C7" w14:textId="0A9E375A" w:rsidR="00396F7D" w:rsidRPr="00064FB4" w:rsidRDefault="00064FB4" w:rsidP="00064FB4">
            <w:pPr>
              <w:spacing w:after="60"/>
              <w:jc w:val="both"/>
              <w:rPr>
                <w:rFonts w:eastAsia="Times New Roman" w:cs="Times New Roman"/>
                <w:lang w:val="en-GB" w:eastAsia="en-CA"/>
              </w:rPr>
            </w:pPr>
            <w:r>
              <w:rPr>
                <w:rFonts w:cs="Calibri"/>
                <w:i/>
                <w:iCs/>
                <w:shd w:val="clear" w:color="auto" w:fill="FFFFFF"/>
              </w:rPr>
              <w:tab/>
            </w:r>
            <w:r w:rsidR="00396F7D" w:rsidRPr="00064FB4">
              <w:rPr>
                <w:rFonts w:cs="Calibri"/>
                <w:i/>
                <w:iCs/>
                <w:shd w:val="clear" w:color="auto" w:fill="FFFFFF"/>
              </w:rPr>
              <w:t>Maciej Kucharczyk, Age Platform Europe</w:t>
            </w:r>
          </w:p>
          <w:p w14:paraId="4B03AC80" w14:textId="1DAF352A" w:rsidR="00C5740D" w:rsidRPr="00064FB4" w:rsidRDefault="00C5740D" w:rsidP="00064FB4">
            <w:pPr>
              <w:spacing w:after="60"/>
              <w:jc w:val="both"/>
              <w:rPr>
                <w:rFonts w:eastAsia="Times New Roman"/>
                <w:lang w:val="en-GB"/>
              </w:rPr>
            </w:pPr>
            <w:r w:rsidRPr="00064FB4">
              <w:rPr>
                <w:rFonts w:eastAsia="Times New Roman"/>
                <w:lang w:val="en-GB"/>
              </w:rPr>
              <w:t xml:space="preserve">Enabling age-friendly environments, including measuring their impact </w:t>
            </w:r>
          </w:p>
          <w:p w14:paraId="6FD4E660" w14:textId="5C5892FA" w:rsidR="00496887" w:rsidRPr="00064FB4" w:rsidRDefault="00064FB4" w:rsidP="00064FB4">
            <w:pPr>
              <w:spacing w:after="60"/>
              <w:jc w:val="both"/>
              <w:rPr>
                <w:rFonts w:eastAsia="Times New Roman"/>
                <w:i/>
                <w:iCs/>
                <w:lang w:val="en-GB"/>
              </w:rPr>
            </w:pPr>
            <w:r>
              <w:rPr>
                <w:rFonts w:eastAsia="Times New Roman"/>
                <w:i/>
                <w:iCs/>
                <w:lang w:val="en-GB"/>
              </w:rPr>
              <w:tab/>
            </w:r>
            <w:r w:rsidR="00496887" w:rsidRPr="00064FB4">
              <w:rPr>
                <w:rFonts w:eastAsia="Times New Roman"/>
                <w:i/>
                <w:iCs/>
                <w:lang w:val="en-GB"/>
              </w:rPr>
              <w:t>Grace Chan</w:t>
            </w:r>
            <w:r w:rsidR="00396F7D" w:rsidRPr="00064FB4">
              <w:rPr>
                <w:rFonts w:eastAsia="Times New Roman"/>
                <w:i/>
                <w:iCs/>
                <w:lang w:val="en-GB"/>
              </w:rPr>
              <w:t>,</w:t>
            </w:r>
            <w:r w:rsidR="00496887" w:rsidRPr="00064FB4">
              <w:rPr>
                <w:rFonts w:eastAsia="Times New Roman"/>
                <w:i/>
                <w:iCs/>
                <w:lang w:val="en-GB"/>
              </w:rPr>
              <w:t xml:space="preserve"> H</w:t>
            </w:r>
            <w:r>
              <w:rPr>
                <w:rFonts w:eastAsia="Times New Roman"/>
                <w:i/>
                <w:iCs/>
                <w:lang w:val="en-GB"/>
              </w:rPr>
              <w:t xml:space="preserve">ong </w:t>
            </w:r>
            <w:r w:rsidR="00496887" w:rsidRPr="00064FB4">
              <w:rPr>
                <w:rFonts w:eastAsia="Times New Roman"/>
                <w:i/>
                <w:iCs/>
                <w:lang w:val="en-GB"/>
              </w:rPr>
              <w:t>K</w:t>
            </w:r>
            <w:r>
              <w:rPr>
                <w:rFonts w:eastAsia="Times New Roman"/>
                <w:i/>
                <w:iCs/>
                <w:lang w:val="en-GB"/>
              </w:rPr>
              <w:t>ong</w:t>
            </w:r>
            <w:r w:rsidR="00496887" w:rsidRPr="00064FB4">
              <w:rPr>
                <w:rFonts w:eastAsia="Times New Roman"/>
                <w:i/>
                <w:iCs/>
                <w:lang w:val="en-GB"/>
              </w:rPr>
              <w:t xml:space="preserve"> Council of Social Services</w:t>
            </w:r>
          </w:p>
          <w:p w14:paraId="55C8DB41" w14:textId="25BE965F" w:rsidR="00C5740D" w:rsidRPr="00064FB4" w:rsidRDefault="00C5740D" w:rsidP="00064FB4">
            <w:pPr>
              <w:spacing w:after="60"/>
              <w:jc w:val="both"/>
              <w:rPr>
                <w:rFonts w:eastAsia="Times New Roman"/>
                <w:lang w:val="en-GB"/>
              </w:rPr>
            </w:pPr>
            <w:r w:rsidRPr="00064FB4">
              <w:rPr>
                <w:rFonts w:eastAsia="Times New Roman"/>
                <w:lang w:val="en-GB"/>
              </w:rPr>
              <w:t>Vaccination to older adults and those with underlying conditions</w:t>
            </w:r>
          </w:p>
          <w:p w14:paraId="1B9B7064" w14:textId="4A7076BC" w:rsidR="00496887" w:rsidRPr="00064FB4" w:rsidRDefault="00064FB4" w:rsidP="00064FB4">
            <w:pPr>
              <w:spacing w:after="60"/>
              <w:jc w:val="both"/>
              <w:rPr>
                <w:rFonts w:eastAsia="Times New Roman"/>
                <w:i/>
                <w:iCs/>
                <w:lang w:val="en-GB"/>
              </w:rPr>
            </w:pPr>
            <w:r>
              <w:rPr>
                <w:rFonts w:eastAsia="Times New Roman"/>
                <w:i/>
                <w:iCs/>
                <w:lang w:val="en-GB"/>
              </w:rPr>
              <w:tab/>
            </w:r>
            <w:r w:rsidR="00496887" w:rsidRPr="00064FB4">
              <w:rPr>
                <w:rFonts w:eastAsia="Times New Roman"/>
                <w:i/>
                <w:iCs/>
                <w:lang w:val="en-GB"/>
              </w:rPr>
              <w:t>Michael Moore, World Federation Public Health Associations</w:t>
            </w:r>
          </w:p>
          <w:p w14:paraId="4F6D7D34" w14:textId="19DA4AC4" w:rsidR="00DB7C44" w:rsidRPr="00064FB4" w:rsidRDefault="00BF3213" w:rsidP="00064FB4">
            <w:pPr>
              <w:spacing w:after="60"/>
              <w:jc w:val="both"/>
              <w:rPr>
                <w:rFonts w:eastAsia="Times New Roman"/>
                <w:lang w:val="en-GB"/>
              </w:rPr>
            </w:pPr>
            <w:r w:rsidRPr="00064FB4">
              <w:rPr>
                <w:rFonts w:eastAsia="Times New Roman"/>
                <w:lang w:val="en-GB"/>
              </w:rPr>
              <w:t>R</w:t>
            </w:r>
            <w:r w:rsidR="001D28AB" w:rsidRPr="00064FB4">
              <w:rPr>
                <w:rFonts w:eastAsia="Times New Roman"/>
                <w:lang w:val="en-GB"/>
              </w:rPr>
              <w:t xml:space="preserve">egulated </w:t>
            </w:r>
            <w:r w:rsidRPr="00064FB4">
              <w:rPr>
                <w:rFonts w:eastAsia="Times New Roman"/>
                <w:lang w:val="en-GB"/>
              </w:rPr>
              <w:t>home-based and residential / institutional long-term care and support</w:t>
            </w:r>
          </w:p>
          <w:p w14:paraId="6672FA85" w14:textId="0CDDA0C6" w:rsidR="00496887" w:rsidRPr="00064FB4" w:rsidRDefault="00064FB4" w:rsidP="00064FB4">
            <w:pPr>
              <w:spacing w:after="60"/>
              <w:jc w:val="both"/>
              <w:rPr>
                <w:rFonts w:eastAsia="Times New Roman"/>
                <w:b/>
                <w:bCs/>
                <w:i/>
                <w:lang w:val="en-GB"/>
              </w:rPr>
            </w:pPr>
            <w:r>
              <w:rPr>
                <w:rFonts w:eastAsia="Times New Roman"/>
                <w:b/>
                <w:bCs/>
                <w:i/>
                <w:lang w:val="en-GB"/>
              </w:rPr>
              <w:tab/>
            </w:r>
            <w:r w:rsidR="00496887" w:rsidRPr="00064FB4">
              <w:rPr>
                <w:rFonts w:eastAsia="Times New Roman"/>
                <w:b/>
                <w:bCs/>
                <w:i/>
                <w:lang w:val="en-GB"/>
              </w:rPr>
              <w:t>Isabella Aboderin</w:t>
            </w:r>
            <w:r>
              <w:rPr>
                <w:rFonts w:eastAsia="Times New Roman"/>
                <w:b/>
                <w:bCs/>
                <w:i/>
                <w:lang w:val="en-GB"/>
              </w:rPr>
              <w:t xml:space="preserve">, University of Bristol </w:t>
            </w:r>
          </w:p>
          <w:p w14:paraId="1D6646AB" w14:textId="2D6D8361" w:rsidR="00BF3213" w:rsidRDefault="00DB0E8E" w:rsidP="00064FB4">
            <w:pPr>
              <w:spacing w:after="60"/>
              <w:jc w:val="both"/>
              <w:rPr>
                <w:rFonts w:eastAsia="Times New Roman"/>
                <w:lang w:val="en-GB"/>
              </w:rPr>
            </w:pPr>
            <w:r w:rsidRPr="00064FB4">
              <w:rPr>
                <w:rFonts w:eastAsia="Times New Roman"/>
                <w:lang w:val="en-GB"/>
              </w:rPr>
              <w:t>I</w:t>
            </w:r>
            <w:r w:rsidR="00927FC5" w:rsidRPr="00064FB4">
              <w:rPr>
                <w:rFonts w:eastAsia="Times New Roman"/>
                <w:lang w:val="en-GB"/>
              </w:rPr>
              <w:t xml:space="preserve">ncluding older people in all </w:t>
            </w:r>
            <w:r w:rsidR="00DB7C44" w:rsidRPr="00064FB4">
              <w:rPr>
                <w:rFonts w:eastAsia="Times New Roman"/>
                <w:lang w:val="en-GB"/>
              </w:rPr>
              <w:t xml:space="preserve">NCDs </w:t>
            </w:r>
            <w:r w:rsidR="00927FC5" w:rsidRPr="00064FB4">
              <w:rPr>
                <w:rFonts w:eastAsia="Times New Roman"/>
                <w:lang w:val="en-GB"/>
              </w:rPr>
              <w:t>(including mental health) data and responses</w:t>
            </w:r>
          </w:p>
          <w:p w14:paraId="5D55E399" w14:textId="0E5DB2B9" w:rsidR="00064FB4" w:rsidRPr="00064FB4" w:rsidRDefault="00064FB4" w:rsidP="00064FB4">
            <w:pPr>
              <w:spacing w:after="60"/>
              <w:jc w:val="both"/>
              <w:rPr>
                <w:rFonts w:eastAsia="Times New Roman"/>
                <w:i/>
                <w:iCs/>
                <w:lang w:val="en-GB" w:eastAsia="en-CA"/>
              </w:rPr>
            </w:pPr>
            <w:r>
              <w:rPr>
                <w:rFonts w:eastAsia="Times New Roman"/>
                <w:lang w:val="en-GB" w:eastAsia="en-CA"/>
              </w:rPr>
              <w:tab/>
            </w:r>
            <w:r w:rsidRPr="00064FB4">
              <w:rPr>
                <w:rFonts w:eastAsia="Times New Roman"/>
                <w:i/>
                <w:iCs/>
                <w:lang w:val="en-GB" w:eastAsia="en-CA"/>
              </w:rPr>
              <w:t>Justin Derbyshire</w:t>
            </w:r>
            <w:r>
              <w:rPr>
                <w:rFonts w:eastAsia="Times New Roman"/>
                <w:i/>
                <w:iCs/>
                <w:lang w:val="en-GB" w:eastAsia="en-CA"/>
              </w:rPr>
              <w:t>, HelpAge International</w:t>
            </w:r>
          </w:p>
          <w:p w14:paraId="1CC8D84C" w14:textId="15C706AB" w:rsidR="0005678D" w:rsidRPr="00064FB4" w:rsidRDefault="00C5740D" w:rsidP="00064FB4">
            <w:pPr>
              <w:spacing w:after="60"/>
              <w:jc w:val="both"/>
              <w:rPr>
                <w:rFonts w:eastAsia="Times New Roman"/>
                <w:lang w:val="en-GB"/>
              </w:rPr>
            </w:pPr>
            <w:r w:rsidRPr="00064FB4">
              <w:rPr>
                <w:rFonts w:eastAsia="Times New Roman"/>
                <w:lang w:val="en-GB"/>
              </w:rPr>
              <w:t>Humanizing loss, grief, bereavement, and the last days of life</w:t>
            </w:r>
          </w:p>
          <w:p w14:paraId="54357CD6" w14:textId="3B9E297E" w:rsidR="00C5740D" w:rsidRPr="00396F7D" w:rsidRDefault="00064FB4" w:rsidP="00064FB4">
            <w:pPr>
              <w:spacing w:after="60"/>
              <w:jc w:val="both"/>
              <w:rPr>
                <w:rFonts w:eastAsia="Times New Roman"/>
                <w:i/>
                <w:iCs/>
                <w:color w:val="0000FF"/>
                <w:lang w:val="fr-FR"/>
              </w:rPr>
            </w:pPr>
            <w:r>
              <w:rPr>
                <w:rFonts w:eastAsia="Times New Roman"/>
                <w:i/>
                <w:iCs/>
                <w:lang w:val="fr-FR"/>
              </w:rPr>
              <w:tab/>
            </w:r>
            <w:r w:rsidR="00496887" w:rsidRPr="00064FB4">
              <w:rPr>
                <w:rFonts w:eastAsia="Times New Roman"/>
                <w:i/>
                <w:iCs/>
                <w:lang w:val="fr-FR"/>
              </w:rPr>
              <w:t>Alexandre Kalache, ILC Brazil</w:t>
            </w:r>
          </w:p>
        </w:tc>
      </w:tr>
      <w:tr w:rsidR="00850EAF" w:rsidRPr="00B055A4" w14:paraId="6A6556B1" w14:textId="77777777" w:rsidTr="00BB172C">
        <w:tc>
          <w:tcPr>
            <w:tcW w:w="9016" w:type="dxa"/>
            <w:gridSpan w:val="2"/>
          </w:tcPr>
          <w:p w14:paraId="28D8DCD5" w14:textId="16BFB3E4" w:rsidR="00850EAF" w:rsidRPr="00064FB4" w:rsidRDefault="00186A03" w:rsidP="00064FB4">
            <w:pPr>
              <w:spacing w:after="120"/>
              <w:rPr>
                <w:b/>
                <w:bCs/>
                <w:lang w:val="en-GB"/>
              </w:rPr>
            </w:pPr>
            <w:r w:rsidRPr="00064FB4">
              <w:rPr>
                <w:b/>
                <w:bCs/>
                <w:lang w:val="en-GB"/>
              </w:rPr>
              <w:lastRenderedPageBreak/>
              <w:t xml:space="preserve">Concrete Actions </w:t>
            </w:r>
          </w:p>
          <w:p w14:paraId="1546F879" w14:textId="2076E5D6" w:rsidR="005C1307" w:rsidRPr="00064FB4" w:rsidRDefault="004E6045" w:rsidP="00064FB4">
            <w:pPr>
              <w:pStyle w:val="ListParagraph"/>
              <w:numPr>
                <w:ilvl w:val="0"/>
                <w:numId w:val="15"/>
              </w:numPr>
              <w:spacing w:after="120"/>
              <w:rPr>
                <w:rFonts w:asciiTheme="minorHAnsi" w:hAnsiTheme="minorHAnsi" w:cstheme="minorHAnsi"/>
              </w:rPr>
            </w:pPr>
            <w:r w:rsidRPr="004E6045">
              <w:rPr>
                <w:rFonts w:asciiTheme="minorHAnsi" w:hAnsiTheme="minorHAnsi" w:cstheme="minorHAnsi"/>
                <w:i/>
                <w:iCs/>
              </w:rPr>
              <w:t xml:space="preserve">Call for </w:t>
            </w:r>
            <w:r w:rsidR="00936CC3" w:rsidRPr="004E6045">
              <w:rPr>
                <w:rFonts w:asciiTheme="minorHAnsi" w:hAnsiTheme="minorHAnsi" w:cstheme="minorHAnsi"/>
                <w:i/>
                <w:iCs/>
              </w:rPr>
              <w:t>WHO</w:t>
            </w:r>
            <w:r w:rsidR="00936CC3" w:rsidRPr="00064FB4">
              <w:rPr>
                <w:rFonts w:asciiTheme="minorHAnsi" w:hAnsiTheme="minorHAnsi" w:cstheme="minorHAnsi"/>
              </w:rPr>
              <w:t xml:space="preserve"> </w:t>
            </w:r>
            <w:r>
              <w:rPr>
                <w:rFonts w:asciiTheme="minorHAnsi" w:hAnsiTheme="minorHAnsi" w:cstheme="minorHAnsi"/>
              </w:rPr>
              <w:t xml:space="preserve">to </w:t>
            </w:r>
            <w:r w:rsidR="00936CC3" w:rsidRPr="00064FB4">
              <w:rPr>
                <w:rFonts w:asciiTheme="minorHAnsi" w:hAnsiTheme="minorHAnsi" w:cstheme="minorHAnsi"/>
              </w:rPr>
              <w:t xml:space="preserve">speak with one voice on issues related to ageing to provide an exemplar model for coordinated, collaborative approaches?  </w:t>
            </w:r>
          </w:p>
          <w:p w14:paraId="2BDB5483" w14:textId="5AF25165" w:rsidR="00936CC3" w:rsidRPr="0097095D" w:rsidRDefault="0097095D" w:rsidP="00064FB4">
            <w:pPr>
              <w:pStyle w:val="ListParagraph"/>
              <w:numPr>
                <w:ilvl w:val="0"/>
                <w:numId w:val="15"/>
              </w:numPr>
              <w:spacing w:after="120"/>
              <w:rPr>
                <w:rFonts w:asciiTheme="minorHAnsi" w:hAnsiTheme="minorHAnsi" w:cstheme="minorHAnsi"/>
              </w:rPr>
            </w:pPr>
            <w:r w:rsidRPr="0097095D">
              <w:rPr>
                <w:rFonts w:asciiTheme="minorHAnsi" w:hAnsiTheme="minorHAnsi" w:cstheme="minorHAnsi"/>
              </w:rPr>
              <w:t xml:space="preserve">Recommendations of the evaluation of the Global </w:t>
            </w:r>
            <w:r>
              <w:rPr>
                <w:rFonts w:asciiTheme="minorHAnsi" w:hAnsiTheme="minorHAnsi" w:cstheme="minorHAnsi"/>
              </w:rPr>
              <w:t>s</w:t>
            </w:r>
            <w:r w:rsidRPr="0097095D">
              <w:rPr>
                <w:rFonts w:asciiTheme="minorHAnsi" w:hAnsiTheme="minorHAnsi" w:cstheme="minorHAnsi"/>
              </w:rPr>
              <w:t>trategy and action plan on ageing and health included undertak</w:t>
            </w:r>
            <w:r w:rsidR="004E6045">
              <w:rPr>
                <w:rFonts w:asciiTheme="minorHAnsi" w:hAnsiTheme="minorHAnsi" w:cstheme="minorHAnsi"/>
              </w:rPr>
              <w:t>ing</w:t>
            </w:r>
            <w:r w:rsidRPr="0097095D">
              <w:rPr>
                <w:rFonts w:asciiTheme="minorHAnsi" w:hAnsiTheme="minorHAnsi" w:cstheme="minorHAnsi"/>
              </w:rPr>
              <w:t xml:space="preserve"> </w:t>
            </w:r>
            <w:r w:rsidRPr="0097095D">
              <w:t>necessary organizational changes; external and internal advocacy; and coordination measures</w:t>
            </w:r>
            <w:r w:rsidRPr="0097095D">
              <w:rPr>
                <w:rFonts w:asciiTheme="minorHAnsi" w:hAnsiTheme="minorHAnsi" w:cstheme="minorHAnsi"/>
              </w:rPr>
              <w:t xml:space="preserve"> </w:t>
            </w:r>
            <w:r w:rsidRPr="0097095D">
              <w:t>to ensure that this crucial focus area is elevated to the highest levels of the Organization and thus help maximize the likelihood that the goals of this important initiative will be achieved on time and on target.</w:t>
            </w:r>
          </w:p>
          <w:p w14:paraId="465672EA" w14:textId="744DF69D" w:rsidR="0097095D" w:rsidRPr="0097095D" w:rsidRDefault="0097095D" w:rsidP="0097095D">
            <w:pPr>
              <w:pStyle w:val="ListParagraph"/>
              <w:spacing w:after="120"/>
              <w:rPr>
                <w:rFonts w:asciiTheme="minorHAnsi" w:hAnsiTheme="minorHAnsi" w:cstheme="minorHAnsi"/>
              </w:rPr>
            </w:pPr>
            <w:r>
              <w:t xml:space="preserve">To what degree </w:t>
            </w:r>
            <w:r w:rsidR="004E6045">
              <w:t>h</w:t>
            </w:r>
            <w:r>
              <w:t xml:space="preserve">as the exposure of issues related to older people altered that recommendation and what actions can CSOs expect </w:t>
            </w:r>
            <w:r w:rsidR="004E6045">
              <w:t xml:space="preserve">to </w:t>
            </w:r>
            <w:r>
              <w:t xml:space="preserve">see from WHO </w:t>
            </w:r>
            <w:r w:rsidR="004E6045">
              <w:t xml:space="preserve">pertaining to </w:t>
            </w:r>
            <w:r w:rsidRPr="0097095D">
              <w:t>dedicated leadership and responsibility for this area to a senior technical level expert on ageing</w:t>
            </w:r>
            <w:r w:rsidR="004E6045">
              <w:t>.</w:t>
            </w:r>
          </w:p>
          <w:p w14:paraId="43351C8B" w14:textId="1C6FA177" w:rsidR="00AB08F6" w:rsidRPr="00064FB4" w:rsidRDefault="00AB08F6" w:rsidP="00064FB4">
            <w:pPr>
              <w:pStyle w:val="ListParagraph"/>
              <w:numPr>
                <w:ilvl w:val="0"/>
                <w:numId w:val="15"/>
              </w:numPr>
              <w:spacing w:after="120"/>
              <w:rPr>
                <w:rFonts w:eastAsia="Times New Roman"/>
                <w:lang w:val="en-GB" w:eastAsia="en-US"/>
              </w:rPr>
            </w:pPr>
            <w:r w:rsidRPr="004E6045">
              <w:rPr>
                <w:i/>
                <w:iCs/>
              </w:rPr>
              <w:t>WHO to lead</w:t>
            </w:r>
            <w:r w:rsidRPr="00064FB4">
              <w:t xml:space="preserve"> intergovernmental dialogue on the </w:t>
            </w:r>
            <w:r w:rsidR="00936CC3" w:rsidRPr="00064FB4">
              <w:rPr>
                <w:rFonts w:eastAsia="Times New Roman"/>
                <w:lang w:val="en-GB" w:eastAsia="en-US"/>
              </w:rPr>
              <w:t>humanization</w:t>
            </w:r>
            <w:r w:rsidR="00927FC5" w:rsidRPr="00064FB4">
              <w:rPr>
                <w:rFonts w:eastAsia="Times New Roman"/>
                <w:lang w:val="en-GB" w:eastAsia="en-US"/>
              </w:rPr>
              <w:t xml:space="preserve"> of loss, grief, bereavement, and the last days of life </w:t>
            </w:r>
            <w:r w:rsidR="00936CC3" w:rsidRPr="00064FB4">
              <w:t>against t</w:t>
            </w:r>
            <w:r w:rsidR="00F94171" w:rsidRPr="00064FB4">
              <w:t xml:space="preserve">he backdrop of the </w:t>
            </w:r>
            <w:r w:rsidR="0067737B" w:rsidRPr="00064FB4">
              <w:t xml:space="preserve">COVID-19 </w:t>
            </w:r>
            <w:r w:rsidR="00EB74B4" w:rsidRPr="00064FB4">
              <w:t>pandemic?</w:t>
            </w:r>
            <w:r w:rsidR="0067737B" w:rsidRPr="00064FB4">
              <w:t xml:space="preserve"> </w:t>
            </w:r>
          </w:p>
          <w:p w14:paraId="7FD56F41" w14:textId="77777777" w:rsidR="004E6045" w:rsidRPr="004E6045" w:rsidRDefault="004E6045" w:rsidP="004E6045">
            <w:pPr>
              <w:pStyle w:val="NormalWeb"/>
              <w:numPr>
                <w:ilvl w:val="0"/>
                <w:numId w:val="15"/>
              </w:numPr>
              <w:spacing w:before="0" w:beforeAutospacing="0" w:after="120" w:afterAutospacing="0"/>
              <w:ind w:left="714" w:hanging="357"/>
              <w:rPr>
                <w:lang w:val="en-GB"/>
              </w:rPr>
            </w:pPr>
            <w:r w:rsidRPr="004E6045">
              <w:rPr>
                <w:i/>
                <w:iCs/>
                <w:lang w:val="en-GB"/>
              </w:rPr>
              <w:t xml:space="preserve">How can </w:t>
            </w:r>
            <w:r w:rsidR="00567F63" w:rsidRPr="004E6045">
              <w:rPr>
                <w:i/>
                <w:iCs/>
                <w:lang w:val="en-GB"/>
              </w:rPr>
              <w:t xml:space="preserve">WHO </w:t>
            </w:r>
            <w:r w:rsidR="000D2CE9" w:rsidRPr="004E6045">
              <w:rPr>
                <w:i/>
                <w:iCs/>
                <w:lang w:val="en-GB"/>
              </w:rPr>
              <w:t>programs</w:t>
            </w:r>
            <w:r w:rsidR="000D2CE9" w:rsidRPr="00064FB4">
              <w:rPr>
                <w:lang w:val="en-GB"/>
              </w:rPr>
              <w:t xml:space="preserve"> (e.g. vaccination, </w:t>
            </w:r>
            <w:r w:rsidR="002C6924" w:rsidRPr="00064FB4">
              <w:rPr>
                <w:lang w:val="en-GB"/>
              </w:rPr>
              <w:t xml:space="preserve">ICOPE, </w:t>
            </w:r>
            <w:proofErr w:type="spellStart"/>
            <w:r w:rsidR="002C6924" w:rsidRPr="00064FB4">
              <w:rPr>
                <w:lang w:val="en-GB"/>
              </w:rPr>
              <w:t>icare</w:t>
            </w:r>
            <w:proofErr w:type="spellEnd"/>
            <w:r w:rsidR="002C6924" w:rsidRPr="00064FB4">
              <w:rPr>
                <w:lang w:val="en-GB"/>
              </w:rPr>
              <w:t xml:space="preserve">, </w:t>
            </w:r>
            <w:r w:rsidR="000D2CE9" w:rsidRPr="00064FB4">
              <w:rPr>
                <w:lang w:val="en-GB"/>
              </w:rPr>
              <w:t>NCDs, UHC,</w:t>
            </w:r>
            <w:r w:rsidR="002666C2" w:rsidRPr="00064FB4">
              <w:rPr>
                <w:lang w:val="en-GB"/>
              </w:rPr>
              <w:t xml:space="preserve"> integrated health services, ethics and health</w:t>
            </w:r>
            <w:r w:rsidR="000D2CE9" w:rsidRPr="00064FB4">
              <w:rPr>
                <w:lang w:val="en-GB"/>
              </w:rPr>
              <w:t xml:space="preserve"> , hearing, vision, women’s health, assistive technologies) and the two ageing units </w:t>
            </w:r>
            <w:r>
              <w:t xml:space="preserve">be accountable for their impact on healthy ageing and the lives of </w:t>
            </w:r>
            <w:r w:rsidRPr="004E6045">
              <w:t xml:space="preserve">older people.  </w:t>
            </w:r>
          </w:p>
          <w:p w14:paraId="71087F84" w14:textId="0CA83DEB" w:rsidR="004E6045" w:rsidRPr="004E6045" w:rsidRDefault="004E6045" w:rsidP="004E6045">
            <w:pPr>
              <w:pStyle w:val="NormalWeb"/>
              <w:spacing w:before="0" w:beforeAutospacing="0" w:after="120" w:afterAutospacing="0"/>
              <w:ind w:left="714"/>
              <w:rPr>
                <w:lang w:val="en-GB"/>
              </w:rPr>
            </w:pPr>
            <w:r w:rsidRPr="004E6045">
              <w:t>What role can CSOs play in expanding and support multi-stakeholder partnerships beyond the health sector at the regional and local levels to facilitate multisectoral collaboration for the local rollout of the Decade of Healthy Ageing</w:t>
            </w:r>
          </w:p>
          <w:p w14:paraId="050FC2AE" w14:textId="08BD1813" w:rsidR="00AB7F2A" w:rsidRPr="00064FB4" w:rsidRDefault="004E6045" w:rsidP="00064FB4">
            <w:pPr>
              <w:pStyle w:val="NormalWeb"/>
              <w:numPr>
                <w:ilvl w:val="0"/>
                <w:numId w:val="15"/>
              </w:numPr>
              <w:spacing w:before="0" w:beforeAutospacing="0" w:after="120" w:afterAutospacing="0"/>
              <w:rPr>
                <w:lang w:val="en-GB"/>
              </w:rPr>
            </w:pPr>
            <w:r>
              <w:t xml:space="preserve">Call for </w:t>
            </w:r>
            <w:r w:rsidR="00AB7F2A" w:rsidRPr="00064FB4">
              <w:t>WHO to propose its briefing sessions with Member States are periodically opened to civil society to enable a dialogue between civil society and Member States, including on ageing and health in the context of COVID-19 and the Decade of Healthy Ageing</w:t>
            </w:r>
          </w:p>
          <w:p w14:paraId="4EBD2E7E" w14:textId="77777777" w:rsidR="004E6045" w:rsidRDefault="004E6045" w:rsidP="00064FB4">
            <w:pPr>
              <w:pStyle w:val="Default"/>
              <w:numPr>
                <w:ilvl w:val="0"/>
                <w:numId w:val="15"/>
              </w:numPr>
              <w:spacing w:after="120"/>
              <w:jc w:val="both"/>
              <w:rPr>
                <w:sz w:val="22"/>
                <w:szCs w:val="22"/>
              </w:rPr>
            </w:pPr>
            <w:r>
              <w:rPr>
                <w:sz w:val="22"/>
                <w:szCs w:val="22"/>
              </w:rPr>
              <w:t xml:space="preserve">Even in this fiscally constrained world, funds are essential for the successful roll-out of actions associated with the Decade of Healthy Ageing.  </w:t>
            </w:r>
          </w:p>
          <w:p w14:paraId="2BB56EB8" w14:textId="6E0F1882" w:rsidR="00936CC3" w:rsidRPr="006408F4" w:rsidRDefault="004E6045" w:rsidP="006408F4">
            <w:pPr>
              <w:pStyle w:val="Default"/>
              <w:spacing w:after="120"/>
              <w:ind w:left="720"/>
              <w:jc w:val="both"/>
              <w:rPr>
                <w:sz w:val="22"/>
                <w:szCs w:val="22"/>
              </w:rPr>
            </w:pPr>
            <w:r>
              <w:rPr>
                <w:sz w:val="22"/>
                <w:szCs w:val="22"/>
              </w:rPr>
              <w:t xml:space="preserve">Call for WHO to initiate a request and advocate for a </w:t>
            </w:r>
            <w:r w:rsidR="003009C0" w:rsidRPr="00064FB4">
              <w:rPr>
                <w:sz w:val="22"/>
                <w:szCs w:val="22"/>
              </w:rPr>
              <w:t xml:space="preserve">UN multi donor trust fund (UN Development Coordination Office) to attribute funds to UN country teams </w:t>
            </w:r>
            <w:r w:rsidR="006408F4">
              <w:rPr>
                <w:sz w:val="22"/>
                <w:szCs w:val="22"/>
              </w:rPr>
              <w:t xml:space="preserve">linked to engagement </w:t>
            </w:r>
            <w:r w:rsidR="003009C0" w:rsidRPr="00064FB4">
              <w:rPr>
                <w:sz w:val="22"/>
                <w:szCs w:val="22"/>
              </w:rPr>
              <w:t>CSOs</w:t>
            </w:r>
            <w:r w:rsidR="006408F4">
              <w:rPr>
                <w:sz w:val="22"/>
                <w:szCs w:val="22"/>
              </w:rPr>
              <w:t>.</w:t>
            </w:r>
          </w:p>
        </w:tc>
      </w:tr>
      <w:tr w:rsidR="00B055A4" w:rsidRPr="00B055A4" w14:paraId="79C4C0A6" w14:textId="77777777" w:rsidTr="004E51E5">
        <w:tc>
          <w:tcPr>
            <w:tcW w:w="9016" w:type="dxa"/>
            <w:gridSpan w:val="2"/>
          </w:tcPr>
          <w:p w14:paraId="022C54FB" w14:textId="02FF9616" w:rsidR="00646697" w:rsidRPr="002F3A34" w:rsidRDefault="00B055A4" w:rsidP="00184EE7">
            <w:pPr>
              <w:pStyle w:val="Default"/>
              <w:spacing w:after="120"/>
              <w:rPr>
                <w:rFonts w:asciiTheme="minorHAnsi" w:hAnsiTheme="minorHAnsi" w:cstheme="minorHAnsi"/>
                <w:b/>
                <w:bCs/>
                <w:color w:val="auto"/>
                <w:sz w:val="22"/>
                <w:szCs w:val="22"/>
              </w:rPr>
            </w:pPr>
            <w:r w:rsidRPr="002F3A34">
              <w:rPr>
                <w:rFonts w:asciiTheme="minorHAnsi" w:hAnsiTheme="minorHAnsi" w:cstheme="minorHAnsi"/>
                <w:b/>
                <w:bCs/>
                <w:color w:val="auto"/>
                <w:sz w:val="22"/>
                <w:szCs w:val="22"/>
              </w:rPr>
              <w:t xml:space="preserve">Supporters </w:t>
            </w:r>
          </w:p>
        </w:tc>
      </w:tr>
      <w:tr w:rsidR="00B055A4" w:rsidRPr="00B055A4" w14:paraId="5729FAA7" w14:textId="77777777" w:rsidTr="000B7215">
        <w:trPr>
          <w:trHeight w:val="4342"/>
        </w:trPr>
        <w:tc>
          <w:tcPr>
            <w:tcW w:w="4508" w:type="dxa"/>
          </w:tcPr>
          <w:p w14:paraId="4A8B21C8" w14:textId="77777777" w:rsidR="00B055A4" w:rsidRPr="00B055A4" w:rsidRDefault="00B055A4" w:rsidP="00B0610F">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lastRenderedPageBreak/>
              <w:t>Alliance for Health Promotion</w:t>
            </w:r>
          </w:p>
          <w:p w14:paraId="569BC454" w14:textId="77777777" w:rsidR="00B055A4" w:rsidRPr="00B055A4" w:rsidRDefault="00B055A4" w:rsidP="00B0610F">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Association of Former International Civil Servants (AAFI-AFICS</w:t>
            </w:r>
            <w:r w:rsidRPr="00B055A4">
              <w:rPr>
                <w:rFonts w:asciiTheme="minorHAnsi" w:hAnsiTheme="minorHAnsi" w:cstheme="minorHAnsi"/>
                <w:color w:val="auto"/>
                <w:sz w:val="22"/>
                <w:szCs w:val="22"/>
                <w:lang w:val="fr-CH"/>
              </w:rPr>
              <w:t>)</w:t>
            </w:r>
          </w:p>
          <w:p w14:paraId="30C7C014" w14:textId="77777777" w:rsidR="00B055A4" w:rsidRPr="00B055A4" w:rsidRDefault="00B055A4" w:rsidP="00B0610F">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Alzheimer’s Disease International (ADI)</w:t>
            </w:r>
          </w:p>
          <w:p w14:paraId="7A2098E0" w14:textId="77777777" w:rsidR="00B055A4" w:rsidRPr="00B055A4" w:rsidRDefault="00B055A4" w:rsidP="00B0610F">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Global Alliance of Assistive Technology Organisations (GAATO)</w:t>
            </w:r>
          </w:p>
          <w:p w14:paraId="4F95D2DE" w14:textId="77777777" w:rsidR="00B055A4" w:rsidRPr="00B055A4" w:rsidRDefault="00B055A4" w:rsidP="00B0610F">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Dementia Alliance International</w:t>
            </w:r>
          </w:p>
          <w:p w14:paraId="41C7747A" w14:textId="60AD148D" w:rsidR="00B055A4" w:rsidRDefault="00B055A4" w:rsidP="00B0610F">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 xml:space="preserve">Global Ageing Network </w:t>
            </w:r>
          </w:p>
          <w:p w14:paraId="6AFA4BDF" w14:textId="5DD1CE4A" w:rsidR="001851F7" w:rsidRPr="001C59D1" w:rsidRDefault="001851F7">
            <w:pPr>
              <w:pStyle w:val="Default"/>
              <w:numPr>
                <w:ilvl w:val="0"/>
                <w:numId w:val="6"/>
              </w:numPr>
              <w:ind w:left="357" w:hanging="357"/>
              <w:rPr>
                <w:color w:val="auto"/>
                <w:sz w:val="22"/>
                <w:szCs w:val="22"/>
              </w:rPr>
            </w:pPr>
            <w:r w:rsidRPr="00326E56">
              <w:rPr>
                <w:color w:val="auto"/>
                <w:sz w:val="22"/>
                <w:szCs w:val="22"/>
              </w:rPr>
              <w:t>HelpAge International</w:t>
            </w:r>
          </w:p>
          <w:p w14:paraId="637E72FE" w14:textId="7E39A196" w:rsidR="00662250" w:rsidRPr="00662250" w:rsidRDefault="00662250" w:rsidP="00B0610F">
            <w:pPr>
              <w:pStyle w:val="Default"/>
              <w:numPr>
                <w:ilvl w:val="0"/>
                <w:numId w:val="6"/>
              </w:numPr>
              <w:ind w:left="357" w:hanging="357"/>
              <w:rPr>
                <w:color w:val="auto"/>
                <w:sz w:val="22"/>
                <w:szCs w:val="22"/>
              </w:rPr>
            </w:pPr>
            <w:r w:rsidRPr="009E1132">
              <w:rPr>
                <w:color w:val="auto"/>
                <w:sz w:val="22"/>
                <w:szCs w:val="22"/>
              </w:rPr>
              <w:t>International Agency for the Prevention of Blindness</w:t>
            </w:r>
          </w:p>
          <w:p w14:paraId="05CF0E87" w14:textId="77777777" w:rsidR="00B055A4" w:rsidRPr="00B055A4" w:rsidRDefault="00B055A4" w:rsidP="00B0610F">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International Association of Geriatrics and Gerontology (IAGG)</w:t>
            </w:r>
          </w:p>
          <w:p w14:paraId="736D0E7B" w14:textId="77777777" w:rsidR="00B055A4" w:rsidRPr="00B055A4" w:rsidRDefault="00B055A4" w:rsidP="00B0610F">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 xml:space="preserve">International Association for Hospice and Palliative Care </w:t>
            </w:r>
          </w:p>
          <w:p w14:paraId="288A4C8D" w14:textId="6D450EA6" w:rsidR="001851F7" w:rsidRDefault="001851F7" w:rsidP="001851F7">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 xml:space="preserve">International Alliance of </w:t>
            </w:r>
            <w:proofErr w:type="spellStart"/>
            <w:r w:rsidRPr="00B055A4">
              <w:rPr>
                <w:rFonts w:asciiTheme="minorHAnsi" w:hAnsiTheme="minorHAnsi" w:cstheme="minorHAnsi"/>
                <w:color w:val="auto"/>
                <w:sz w:val="22"/>
                <w:szCs w:val="22"/>
              </w:rPr>
              <w:t>Patients’s</w:t>
            </w:r>
            <w:proofErr w:type="spellEnd"/>
            <w:r w:rsidRPr="00B055A4">
              <w:rPr>
                <w:rFonts w:asciiTheme="minorHAnsi" w:hAnsiTheme="minorHAnsi" w:cstheme="minorHAnsi"/>
                <w:color w:val="auto"/>
                <w:sz w:val="22"/>
                <w:szCs w:val="22"/>
              </w:rPr>
              <w:t xml:space="preserve"> </w:t>
            </w:r>
            <w:r>
              <w:rPr>
                <w:rFonts w:asciiTheme="minorHAnsi" w:hAnsiTheme="minorHAnsi" w:cstheme="minorHAnsi"/>
                <w:color w:val="auto"/>
                <w:sz w:val="22"/>
                <w:szCs w:val="22"/>
              </w:rPr>
              <w:t>O</w:t>
            </w:r>
            <w:r w:rsidRPr="00B055A4">
              <w:rPr>
                <w:rFonts w:asciiTheme="minorHAnsi" w:hAnsiTheme="minorHAnsi" w:cstheme="minorHAnsi"/>
                <w:color w:val="auto"/>
                <w:sz w:val="22"/>
                <w:szCs w:val="22"/>
              </w:rPr>
              <w:t>rganisations (IAPO)</w:t>
            </w:r>
          </w:p>
          <w:p w14:paraId="7CCF41A3" w14:textId="77777777" w:rsidR="001851F7" w:rsidRDefault="001851F7" w:rsidP="001851F7">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International Alliance of Women</w:t>
            </w:r>
          </w:p>
          <w:p w14:paraId="5739414E" w14:textId="47BED936" w:rsidR="001851F7" w:rsidRPr="001851F7" w:rsidRDefault="001851F7">
            <w:pPr>
              <w:pStyle w:val="Default"/>
              <w:numPr>
                <w:ilvl w:val="0"/>
                <w:numId w:val="6"/>
              </w:numPr>
              <w:ind w:left="357" w:hanging="357"/>
              <w:rPr>
                <w:rFonts w:asciiTheme="minorHAnsi" w:hAnsiTheme="minorHAnsi" w:cstheme="minorHAnsi"/>
                <w:color w:val="auto"/>
                <w:sz w:val="22"/>
                <w:szCs w:val="22"/>
              </w:rPr>
            </w:pPr>
            <w:r w:rsidRPr="00326E56">
              <w:rPr>
                <w:color w:val="auto"/>
                <w:sz w:val="22"/>
                <w:szCs w:val="22"/>
              </w:rPr>
              <w:t>International Disability Alliance</w:t>
            </w:r>
          </w:p>
        </w:tc>
        <w:tc>
          <w:tcPr>
            <w:tcW w:w="4508" w:type="dxa"/>
          </w:tcPr>
          <w:p w14:paraId="4E3B372E" w14:textId="734340D4" w:rsidR="00B055A4" w:rsidRPr="00B055A4" w:rsidRDefault="00B055A4" w:rsidP="00B0610F">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 xml:space="preserve">International Federation of the Red Cross </w:t>
            </w:r>
          </w:p>
          <w:p w14:paraId="0B9703A4" w14:textId="07625A25" w:rsidR="00B055A4" w:rsidRPr="00B055A4" w:rsidRDefault="00B055A4" w:rsidP="00B0610F">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 xml:space="preserve">International </w:t>
            </w:r>
            <w:r w:rsidR="009E1132">
              <w:rPr>
                <w:rFonts w:asciiTheme="minorHAnsi" w:hAnsiTheme="minorHAnsi" w:cstheme="minorHAnsi"/>
                <w:color w:val="auto"/>
                <w:sz w:val="22"/>
                <w:szCs w:val="22"/>
              </w:rPr>
              <w:t>Council of Nurses</w:t>
            </w:r>
            <w:r w:rsidRPr="00B055A4">
              <w:rPr>
                <w:rFonts w:asciiTheme="minorHAnsi" w:hAnsiTheme="minorHAnsi" w:cstheme="minorHAnsi"/>
                <w:color w:val="auto"/>
                <w:sz w:val="22"/>
                <w:szCs w:val="22"/>
              </w:rPr>
              <w:t xml:space="preserve"> </w:t>
            </w:r>
          </w:p>
          <w:p w14:paraId="3B735669" w14:textId="77777777" w:rsidR="00B055A4" w:rsidRPr="00B055A4" w:rsidRDefault="00B055A4" w:rsidP="00B0610F">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International Society of Physical and Rehabilitation Medicine</w:t>
            </w:r>
          </w:p>
          <w:p w14:paraId="323D8B05" w14:textId="53FAA252" w:rsidR="00B055A4" w:rsidRDefault="00B055A4" w:rsidP="00B0610F">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International Vaccine Access Centre</w:t>
            </w:r>
          </w:p>
          <w:p w14:paraId="0905EA7E" w14:textId="77777777" w:rsidR="00B055A4" w:rsidRPr="00B055A4" w:rsidRDefault="00B055A4" w:rsidP="00B0610F">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World Federation on Mental Health</w:t>
            </w:r>
          </w:p>
          <w:p w14:paraId="5B7820C2" w14:textId="77777777" w:rsidR="009E1132" w:rsidRDefault="00B055A4" w:rsidP="00B0610F">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World Medical Association</w:t>
            </w:r>
          </w:p>
          <w:p w14:paraId="0CDBD4C8" w14:textId="77777777" w:rsidR="00B055A4" w:rsidRDefault="00B055A4" w:rsidP="00B0610F">
            <w:pPr>
              <w:pStyle w:val="Default"/>
              <w:numPr>
                <w:ilvl w:val="0"/>
                <w:numId w:val="6"/>
              </w:numPr>
              <w:ind w:left="357" w:hanging="357"/>
              <w:rPr>
                <w:rFonts w:asciiTheme="minorHAnsi" w:hAnsiTheme="minorHAnsi" w:cstheme="minorHAnsi"/>
                <w:color w:val="auto"/>
                <w:sz w:val="22"/>
                <w:szCs w:val="22"/>
              </w:rPr>
            </w:pPr>
            <w:r w:rsidRPr="009E1132">
              <w:rPr>
                <w:rFonts w:asciiTheme="minorHAnsi" w:hAnsiTheme="minorHAnsi" w:cstheme="minorHAnsi"/>
                <w:color w:val="auto"/>
                <w:sz w:val="22"/>
                <w:szCs w:val="22"/>
              </w:rPr>
              <w:t>World Stroke Organization</w:t>
            </w:r>
          </w:p>
          <w:p w14:paraId="04F9EABF" w14:textId="77777777" w:rsidR="001851F7" w:rsidRDefault="001851F7" w:rsidP="001851F7">
            <w:pPr>
              <w:pStyle w:val="Default"/>
              <w:numPr>
                <w:ilvl w:val="0"/>
                <w:numId w:val="6"/>
              </w:numPr>
              <w:ind w:left="357" w:hanging="357"/>
              <w:rPr>
                <w:color w:val="auto"/>
                <w:sz w:val="22"/>
                <w:szCs w:val="22"/>
              </w:rPr>
            </w:pPr>
            <w:r w:rsidRPr="00326E56">
              <w:rPr>
                <w:color w:val="auto"/>
                <w:sz w:val="22"/>
                <w:szCs w:val="22"/>
              </w:rPr>
              <w:t>ILC Global Alliance</w:t>
            </w:r>
          </w:p>
          <w:p w14:paraId="0725DC2A" w14:textId="7A4D9832" w:rsidR="001851F7" w:rsidRDefault="001851F7" w:rsidP="001851F7">
            <w:pPr>
              <w:pStyle w:val="Default"/>
              <w:numPr>
                <w:ilvl w:val="0"/>
                <w:numId w:val="6"/>
              </w:numPr>
              <w:ind w:left="357" w:hanging="357"/>
              <w:rPr>
                <w:rFonts w:asciiTheme="minorHAnsi" w:hAnsiTheme="minorHAnsi" w:cstheme="minorHAnsi"/>
                <w:color w:val="auto"/>
                <w:sz w:val="22"/>
                <w:szCs w:val="22"/>
              </w:rPr>
            </w:pPr>
            <w:r w:rsidRPr="00B055A4">
              <w:rPr>
                <w:rFonts w:asciiTheme="minorHAnsi" w:hAnsiTheme="minorHAnsi" w:cstheme="minorHAnsi"/>
                <w:color w:val="auto"/>
                <w:sz w:val="22"/>
                <w:szCs w:val="22"/>
              </w:rPr>
              <w:t>International Federation of Medical Students Associations</w:t>
            </w:r>
          </w:p>
          <w:p w14:paraId="0DD4BB77" w14:textId="1BC541FA" w:rsidR="001851F7" w:rsidRPr="001851F7" w:rsidRDefault="001851F7">
            <w:pPr>
              <w:pStyle w:val="Default"/>
              <w:numPr>
                <w:ilvl w:val="0"/>
                <w:numId w:val="6"/>
              </w:numPr>
              <w:ind w:left="357" w:hanging="357"/>
              <w:rPr>
                <w:color w:val="auto"/>
                <w:sz w:val="22"/>
                <w:szCs w:val="22"/>
              </w:rPr>
            </w:pPr>
            <w:r w:rsidRPr="00326E56">
              <w:rPr>
                <w:color w:val="auto"/>
                <w:sz w:val="22"/>
                <w:szCs w:val="22"/>
              </w:rPr>
              <w:t>International Federation on Ageing</w:t>
            </w:r>
          </w:p>
          <w:p w14:paraId="1AA25C1B" w14:textId="77777777" w:rsidR="001851F7" w:rsidRPr="00326E56" w:rsidRDefault="001851F7" w:rsidP="001851F7">
            <w:pPr>
              <w:pStyle w:val="Default"/>
              <w:numPr>
                <w:ilvl w:val="0"/>
                <w:numId w:val="6"/>
              </w:numPr>
              <w:ind w:left="357" w:hanging="357"/>
              <w:rPr>
                <w:rFonts w:asciiTheme="minorHAnsi" w:hAnsiTheme="minorHAnsi" w:cstheme="minorHAnsi"/>
                <w:color w:val="auto"/>
                <w:sz w:val="22"/>
                <w:szCs w:val="22"/>
              </w:rPr>
            </w:pPr>
            <w:r w:rsidRPr="00326E56">
              <w:rPr>
                <w:rFonts w:asciiTheme="minorHAnsi" w:hAnsiTheme="minorHAnsi" w:cstheme="minorHAnsi"/>
                <w:color w:val="auto"/>
                <w:sz w:val="22"/>
                <w:szCs w:val="22"/>
              </w:rPr>
              <w:t>International Network for the Prevention of Elder Abuse</w:t>
            </w:r>
          </w:p>
          <w:p w14:paraId="61B44848" w14:textId="77777777" w:rsidR="001851F7" w:rsidRDefault="001851F7" w:rsidP="001851F7">
            <w:pPr>
              <w:pStyle w:val="Default"/>
              <w:numPr>
                <w:ilvl w:val="0"/>
                <w:numId w:val="6"/>
              </w:numPr>
              <w:ind w:left="357" w:hanging="357"/>
              <w:rPr>
                <w:rFonts w:asciiTheme="minorHAnsi" w:hAnsiTheme="minorHAnsi" w:cstheme="minorHAnsi"/>
                <w:color w:val="auto"/>
                <w:sz w:val="22"/>
                <w:szCs w:val="22"/>
              </w:rPr>
            </w:pPr>
            <w:r w:rsidRPr="00326E56">
              <w:rPr>
                <w:rFonts w:asciiTheme="minorHAnsi" w:hAnsiTheme="minorHAnsi" w:cstheme="minorHAnsi"/>
                <w:color w:val="auto"/>
                <w:sz w:val="22"/>
                <w:szCs w:val="22"/>
              </w:rPr>
              <w:t>International Vaccine Access Centre</w:t>
            </w:r>
          </w:p>
          <w:p w14:paraId="5C45E625" w14:textId="77777777" w:rsidR="001851F7" w:rsidRPr="00326E56" w:rsidRDefault="001851F7" w:rsidP="001851F7">
            <w:pPr>
              <w:pStyle w:val="Default"/>
              <w:numPr>
                <w:ilvl w:val="0"/>
                <w:numId w:val="6"/>
              </w:numPr>
              <w:ind w:left="357" w:hanging="357"/>
              <w:rPr>
                <w:rFonts w:asciiTheme="minorHAnsi" w:hAnsiTheme="minorHAnsi" w:cstheme="minorHAnsi"/>
                <w:color w:val="auto"/>
                <w:sz w:val="22"/>
                <w:szCs w:val="22"/>
              </w:rPr>
            </w:pPr>
            <w:r>
              <w:rPr>
                <w:rFonts w:asciiTheme="minorHAnsi" w:hAnsiTheme="minorHAnsi" w:cstheme="minorHAnsi"/>
                <w:color w:val="auto"/>
                <w:sz w:val="22"/>
                <w:szCs w:val="22"/>
              </w:rPr>
              <w:t>NCD Alliance</w:t>
            </w:r>
          </w:p>
          <w:p w14:paraId="35E96DE7" w14:textId="009AFA2E" w:rsidR="009B3E9D" w:rsidRPr="009E1132" w:rsidRDefault="001851F7" w:rsidP="001851F7">
            <w:pPr>
              <w:pStyle w:val="Default"/>
              <w:numPr>
                <w:ilvl w:val="0"/>
                <w:numId w:val="6"/>
              </w:numPr>
              <w:ind w:left="357" w:hanging="357"/>
              <w:rPr>
                <w:rFonts w:asciiTheme="minorHAnsi" w:hAnsiTheme="minorHAnsi" w:cstheme="minorHAnsi"/>
                <w:color w:val="auto"/>
                <w:sz w:val="22"/>
                <w:szCs w:val="22"/>
              </w:rPr>
            </w:pPr>
            <w:r w:rsidRPr="00326E56">
              <w:rPr>
                <w:rFonts w:eastAsia="Times New Roman"/>
                <w:sz w:val="22"/>
                <w:szCs w:val="22"/>
                <w:lang w:val="en-GB"/>
              </w:rPr>
              <w:t>Worldwide Hospice and Palliative Care Alliance</w:t>
            </w:r>
          </w:p>
        </w:tc>
      </w:tr>
    </w:tbl>
    <w:p w14:paraId="24E5C027" w14:textId="58BF5A26" w:rsidR="00617020" w:rsidRDefault="00617020" w:rsidP="001C59D1"/>
    <w:p w14:paraId="3FF236E7" w14:textId="4A310041" w:rsidR="00367FF9" w:rsidRDefault="00367FF9" w:rsidP="001C59D1"/>
    <w:p w14:paraId="54E38A44" w14:textId="456DDA63" w:rsidR="00367FF9" w:rsidRDefault="00367FF9" w:rsidP="00367FF9">
      <w:r>
        <w:t xml:space="preserve">From the </w:t>
      </w:r>
      <w:proofErr w:type="spellStart"/>
      <w:r>
        <w:t>audit:it</w:t>
      </w:r>
      <w:proofErr w:type="spellEnd"/>
      <w:r>
        <w:t xml:space="preserve"> is recommended that WHO Senior Management:</w:t>
      </w:r>
      <w:r>
        <w:cr/>
        <w:t>• integrate the Decade of Healthy Ageing as a high-level goal of its internal and external advocacy efforts and embed it in its strategic processes (e.g. the SDG3 GAP</w:t>
      </w:r>
      <w:proofErr w:type="gramStart"/>
      <w:r>
        <w:t>);</w:t>
      </w:r>
      <w:proofErr w:type="gramEnd"/>
      <w:r>
        <w:cr/>
        <w:t>• assign dedicated leadership and responsibility for this area to a senior-level expert on Ageing; and</w:t>
      </w:r>
      <w:r>
        <w:cr/>
        <w:t>• ensure the Organization’s visibility and technical credibility, as well as the clarity of its position and role in designing and implementing the Decade of Healthy Ageing – and in building and steering the necessary coalitions (including high-level relationships with Member States, UN agencies, donors and other stakeholders) in pursuit of the effective roll-out of the Decade of Healthy Ageing.</w:t>
      </w:r>
      <w:r>
        <w:cr/>
        <w:t>Ask the DG to bring the Decade to the UN senior management team (SG and heads of agencies and socialised programmes)</w:t>
      </w:r>
    </w:p>
    <w:sectPr w:rsidR="00367FF9" w:rsidSect="0047148A">
      <w:headerReference w:type="default" r:id="rId11"/>
      <w:footerReference w:type="even" r:id="rId12"/>
      <w:footerReference w:type="default" r:id="rId13"/>
      <w:pgSz w:w="11906" w:h="17338"/>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841C4" w14:textId="77777777" w:rsidR="00DD3CD7" w:rsidRDefault="00DD3CD7" w:rsidP="003F77BF">
      <w:pPr>
        <w:spacing w:after="0" w:line="240" w:lineRule="auto"/>
      </w:pPr>
      <w:r>
        <w:separator/>
      </w:r>
    </w:p>
  </w:endnote>
  <w:endnote w:type="continuationSeparator" w:id="0">
    <w:p w14:paraId="2E33D328" w14:textId="77777777" w:rsidR="00DD3CD7" w:rsidRDefault="00DD3CD7" w:rsidP="003F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64094661"/>
      <w:docPartObj>
        <w:docPartGallery w:val="Page Numbers (Bottom of Page)"/>
        <w:docPartUnique/>
      </w:docPartObj>
    </w:sdtPr>
    <w:sdtEndPr>
      <w:rPr>
        <w:rStyle w:val="PageNumber"/>
      </w:rPr>
    </w:sdtEndPr>
    <w:sdtContent>
      <w:p w14:paraId="2C74DD52" w14:textId="404F0F11" w:rsidR="006B1734" w:rsidRDefault="006B1734" w:rsidP="009F76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5D82EE" w14:textId="77777777" w:rsidR="006B1734" w:rsidRDefault="006B1734" w:rsidP="004961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06359817"/>
      <w:docPartObj>
        <w:docPartGallery w:val="Page Numbers (Bottom of Page)"/>
        <w:docPartUnique/>
      </w:docPartObj>
    </w:sdtPr>
    <w:sdtEndPr>
      <w:rPr>
        <w:rStyle w:val="PageNumber"/>
      </w:rPr>
    </w:sdtEndPr>
    <w:sdtContent>
      <w:p w14:paraId="4A716FF3" w14:textId="61BBA787" w:rsidR="006B1734" w:rsidRDefault="006B1734" w:rsidP="009F76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731175" w14:textId="77777777" w:rsidR="006B1734" w:rsidRDefault="006B1734" w:rsidP="004961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39279" w14:textId="77777777" w:rsidR="00DD3CD7" w:rsidRDefault="00DD3CD7" w:rsidP="003F77BF">
      <w:pPr>
        <w:spacing w:after="0" w:line="240" w:lineRule="auto"/>
      </w:pPr>
      <w:r>
        <w:separator/>
      </w:r>
    </w:p>
  </w:footnote>
  <w:footnote w:type="continuationSeparator" w:id="0">
    <w:p w14:paraId="0E67590D" w14:textId="77777777" w:rsidR="00DD3CD7" w:rsidRDefault="00DD3CD7" w:rsidP="003F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363D9" w14:textId="54B312D8" w:rsidR="003F77BF" w:rsidRPr="00935CD7" w:rsidRDefault="003F77BF" w:rsidP="00935CD7">
    <w:pPr>
      <w:pStyle w:val="Default"/>
      <w:rPr>
        <w:rFonts w:asciiTheme="minorHAnsi" w:hAnsiTheme="minorHAnsi" w:cstheme="minorHAnsi"/>
        <w:color w:val="aut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6F7A"/>
    <w:multiLevelType w:val="hybridMultilevel"/>
    <w:tmpl w:val="DECA9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2F2059"/>
    <w:multiLevelType w:val="hybridMultilevel"/>
    <w:tmpl w:val="29089B8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6C4B96"/>
    <w:multiLevelType w:val="multilevel"/>
    <w:tmpl w:val="EC76E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203F2"/>
    <w:multiLevelType w:val="hybridMultilevel"/>
    <w:tmpl w:val="28F24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387431"/>
    <w:multiLevelType w:val="hybridMultilevel"/>
    <w:tmpl w:val="A0EAC082"/>
    <w:lvl w:ilvl="0" w:tplc="10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80715"/>
    <w:multiLevelType w:val="hybridMultilevel"/>
    <w:tmpl w:val="8D4060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2C17B4"/>
    <w:multiLevelType w:val="hybridMultilevel"/>
    <w:tmpl w:val="48C29F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03A7CCB"/>
    <w:multiLevelType w:val="hybridMultilevel"/>
    <w:tmpl w:val="A0EAC082"/>
    <w:lvl w:ilvl="0" w:tplc="10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A84930"/>
    <w:multiLevelType w:val="hybridMultilevel"/>
    <w:tmpl w:val="16063806"/>
    <w:lvl w:ilvl="0" w:tplc="E5FA54D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F44CE26">
      <w:numFmt w:val="bullet"/>
      <w:lvlText w:val="•"/>
      <w:lvlJc w:val="left"/>
      <w:pPr>
        <w:ind w:left="2880" w:hanging="360"/>
      </w:pPr>
      <w:rPr>
        <w:rFonts w:ascii="Calibri" w:eastAsiaTheme="minorHAnsi" w:hAnsi="Calibri" w:cs="Calibri" w:hint="default"/>
        <w:color w:val="538135" w:themeColor="accent6" w:themeShade="BF"/>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12F45"/>
    <w:multiLevelType w:val="hybridMultilevel"/>
    <w:tmpl w:val="19202C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C9442CD"/>
    <w:multiLevelType w:val="hybridMultilevel"/>
    <w:tmpl w:val="D6DA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7F2256"/>
    <w:multiLevelType w:val="hybridMultilevel"/>
    <w:tmpl w:val="D0D06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10D21E3"/>
    <w:multiLevelType w:val="hybridMultilevel"/>
    <w:tmpl w:val="F84896E8"/>
    <w:lvl w:ilvl="0" w:tplc="EA9276D2">
      <w:start w:val="1"/>
      <w:numFmt w:val="decimal"/>
      <w:lvlText w:val="%1."/>
      <w:lvlJc w:val="left"/>
      <w:pPr>
        <w:ind w:left="360" w:hanging="360"/>
      </w:pPr>
      <w:rPr>
        <w:rFonts w:hint="default"/>
        <w:color w:val="4472C4" w:themeColor="accen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5824189C"/>
    <w:multiLevelType w:val="hybridMultilevel"/>
    <w:tmpl w:val="9286C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03E0175"/>
    <w:multiLevelType w:val="hybridMultilevel"/>
    <w:tmpl w:val="23BE88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7251E20"/>
    <w:multiLevelType w:val="hybridMultilevel"/>
    <w:tmpl w:val="0E54FD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7E3C0A8A"/>
    <w:multiLevelType w:val="hybridMultilevel"/>
    <w:tmpl w:val="48C29F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2"/>
  </w:num>
  <w:num w:numId="3">
    <w:abstractNumId w:val="16"/>
  </w:num>
  <w:num w:numId="4">
    <w:abstractNumId w:val="3"/>
  </w:num>
  <w:num w:numId="5">
    <w:abstractNumId w:val="11"/>
  </w:num>
  <w:num w:numId="6">
    <w:abstractNumId w:val="15"/>
  </w:num>
  <w:num w:numId="7">
    <w:abstractNumId w:val="6"/>
  </w:num>
  <w:num w:numId="8">
    <w:abstractNumId w:val="2"/>
  </w:num>
  <w:num w:numId="9">
    <w:abstractNumId w:val="9"/>
  </w:num>
  <w:num w:numId="10">
    <w:abstractNumId w:val="14"/>
  </w:num>
  <w:num w:numId="11">
    <w:abstractNumId w:val="0"/>
  </w:num>
  <w:num w:numId="12">
    <w:abstractNumId w:val="0"/>
  </w:num>
  <w:num w:numId="13">
    <w:abstractNumId w:val="4"/>
  </w:num>
  <w:num w:numId="14">
    <w:abstractNumId w:val="7"/>
  </w:num>
  <w:num w:numId="15">
    <w:abstractNumId w:val="1"/>
  </w:num>
  <w:num w:numId="16">
    <w:abstractNumId w:val="5"/>
  </w:num>
  <w:num w:numId="17">
    <w:abstractNumId w:val="10"/>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8A"/>
    <w:rsid w:val="00000B92"/>
    <w:rsid w:val="00013950"/>
    <w:rsid w:val="000305A2"/>
    <w:rsid w:val="00032CA0"/>
    <w:rsid w:val="00032F9B"/>
    <w:rsid w:val="00042AE3"/>
    <w:rsid w:val="000533F9"/>
    <w:rsid w:val="00056585"/>
    <w:rsid w:val="0005678D"/>
    <w:rsid w:val="00056A4D"/>
    <w:rsid w:val="0006248F"/>
    <w:rsid w:val="00064FB4"/>
    <w:rsid w:val="00072445"/>
    <w:rsid w:val="00075FD4"/>
    <w:rsid w:val="00077B79"/>
    <w:rsid w:val="000822EB"/>
    <w:rsid w:val="000831FB"/>
    <w:rsid w:val="000A7281"/>
    <w:rsid w:val="000B6FB8"/>
    <w:rsid w:val="000B7215"/>
    <w:rsid w:val="000B72CF"/>
    <w:rsid w:val="000D0C10"/>
    <w:rsid w:val="000D2CE9"/>
    <w:rsid w:val="000D7727"/>
    <w:rsid w:val="000E3F06"/>
    <w:rsid w:val="000E676F"/>
    <w:rsid w:val="000F32ED"/>
    <w:rsid w:val="000F62F2"/>
    <w:rsid w:val="00110E3D"/>
    <w:rsid w:val="001123CC"/>
    <w:rsid w:val="00135A29"/>
    <w:rsid w:val="0014189F"/>
    <w:rsid w:val="00142EFB"/>
    <w:rsid w:val="00150214"/>
    <w:rsid w:val="00155DF0"/>
    <w:rsid w:val="00176017"/>
    <w:rsid w:val="00181255"/>
    <w:rsid w:val="00181E5F"/>
    <w:rsid w:val="00182C73"/>
    <w:rsid w:val="00184EE7"/>
    <w:rsid w:val="001851F7"/>
    <w:rsid w:val="00186A03"/>
    <w:rsid w:val="0019183C"/>
    <w:rsid w:val="001B3FD9"/>
    <w:rsid w:val="001B4D89"/>
    <w:rsid w:val="001B639B"/>
    <w:rsid w:val="001C59D1"/>
    <w:rsid w:val="001D0A3F"/>
    <w:rsid w:val="001D0B57"/>
    <w:rsid w:val="001D28AB"/>
    <w:rsid w:val="001D65C7"/>
    <w:rsid w:val="001E24E9"/>
    <w:rsid w:val="001E6C66"/>
    <w:rsid w:val="001F1334"/>
    <w:rsid w:val="001F2432"/>
    <w:rsid w:val="001F6048"/>
    <w:rsid w:val="001F6B5B"/>
    <w:rsid w:val="0020442A"/>
    <w:rsid w:val="0022642F"/>
    <w:rsid w:val="002345AF"/>
    <w:rsid w:val="00262341"/>
    <w:rsid w:val="0026463D"/>
    <w:rsid w:val="002666C2"/>
    <w:rsid w:val="00270BF5"/>
    <w:rsid w:val="00280C7F"/>
    <w:rsid w:val="002817AF"/>
    <w:rsid w:val="002819F0"/>
    <w:rsid w:val="002865FA"/>
    <w:rsid w:val="002936EE"/>
    <w:rsid w:val="00294783"/>
    <w:rsid w:val="0029648E"/>
    <w:rsid w:val="002C0FE0"/>
    <w:rsid w:val="002C4690"/>
    <w:rsid w:val="002C6924"/>
    <w:rsid w:val="002D3163"/>
    <w:rsid w:val="002E63DA"/>
    <w:rsid w:val="002F14A2"/>
    <w:rsid w:val="002F1972"/>
    <w:rsid w:val="002F3A34"/>
    <w:rsid w:val="003009C0"/>
    <w:rsid w:val="003103B2"/>
    <w:rsid w:val="0031095A"/>
    <w:rsid w:val="00314685"/>
    <w:rsid w:val="003165F3"/>
    <w:rsid w:val="00316CF3"/>
    <w:rsid w:val="00326E56"/>
    <w:rsid w:val="003346ED"/>
    <w:rsid w:val="0034616B"/>
    <w:rsid w:val="00350434"/>
    <w:rsid w:val="003517DF"/>
    <w:rsid w:val="0035404C"/>
    <w:rsid w:val="00363242"/>
    <w:rsid w:val="00367FF9"/>
    <w:rsid w:val="00373BAD"/>
    <w:rsid w:val="00374276"/>
    <w:rsid w:val="00394258"/>
    <w:rsid w:val="00396C26"/>
    <w:rsid w:val="00396F7D"/>
    <w:rsid w:val="003A7901"/>
    <w:rsid w:val="003A7C15"/>
    <w:rsid w:val="003B7C11"/>
    <w:rsid w:val="003E72CF"/>
    <w:rsid w:val="003F25AF"/>
    <w:rsid w:val="003F2F39"/>
    <w:rsid w:val="003F77BF"/>
    <w:rsid w:val="00400055"/>
    <w:rsid w:val="0041019B"/>
    <w:rsid w:val="004174F1"/>
    <w:rsid w:val="004302A6"/>
    <w:rsid w:val="00433E66"/>
    <w:rsid w:val="00442C6C"/>
    <w:rsid w:val="004462D9"/>
    <w:rsid w:val="004679F3"/>
    <w:rsid w:val="0047148A"/>
    <w:rsid w:val="00472622"/>
    <w:rsid w:val="00482066"/>
    <w:rsid w:val="004859AA"/>
    <w:rsid w:val="0049578E"/>
    <w:rsid w:val="004961D8"/>
    <w:rsid w:val="00496887"/>
    <w:rsid w:val="004A4D69"/>
    <w:rsid w:val="004B1F3A"/>
    <w:rsid w:val="004B6159"/>
    <w:rsid w:val="004C5972"/>
    <w:rsid w:val="004C6257"/>
    <w:rsid w:val="004D45C4"/>
    <w:rsid w:val="004D706E"/>
    <w:rsid w:val="004E0075"/>
    <w:rsid w:val="004E6045"/>
    <w:rsid w:val="004F04A4"/>
    <w:rsid w:val="004F04CA"/>
    <w:rsid w:val="004F2B0C"/>
    <w:rsid w:val="004F5355"/>
    <w:rsid w:val="0050212F"/>
    <w:rsid w:val="0050413C"/>
    <w:rsid w:val="00507498"/>
    <w:rsid w:val="0051427F"/>
    <w:rsid w:val="00522A00"/>
    <w:rsid w:val="00525795"/>
    <w:rsid w:val="00525D65"/>
    <w:rsid w:val="00531315"/>
    <w:rsid w:val="00556493"/>
    <w:rsid w:val="00567F63"/>
    <w:rsid w:val="005730AD"/>
    <w:rsid w:val="00577589"/>
    <w:rsid w:val="00584EC0"/>
    <w:rsid w:val="005876F1"/>
    <w:rsid w:val="0059585F"/>
    <w:rsid w:val="005A07FA"/>
    <w:rsid w:val="005A3412"/>
    <w:rsid w:val="005B21C1"/>
    <w:rsid w:val="005C1009"/>
    <w:rsid w:val="005C1307"/>
    <w:rsid w:val="005C4B56"/>
    <w:rsid w:val="005D0188"/>
    <w:rsid w:val="005D58CA"/>
    <w:rsid w:val="005D6436"/>
    <w:rsid w:val="005E0CF6"/>
    <w:rsid w:val="005F1490"/>
    <w:rsid w:val="005F2C8E"/>
    <w:rsid w:val="005F3E74"/>
    <w:rsid w:val="006117DE"/>
    <w:rsid w:val="00612927"/>
    <w:rsid w:val="00614258"/>
    <w:rsid w:val="006164B6"/>
    <w:rsid w:val="00616844"/>
    <w:rsid w:val="00616F04"/>
    <w:rsid w:val="00617020"/>
    <w:rsid w:val="006408F4"/>
    <w:rsid w:val="006417D7"/>
    <w:rsid w:val="00646697"/>
    <w:rsid w:val="00662250"/>
    <w:rsid w:val="0067737B"/>
    <w:rsid w:val="00687ED3"/>
    <w:rsid w:val="006923DF"/>
    <w:rsid w:val="006B1734"/>
    <w:rsid w:val="006B1CEB"/>
    <w:rsid w:val="006D2870"/>
    <w:rsid w:val="006F1DBE"/>
    <w:rsid w:val="00702C18"/>
    <w:rsid w:val="007079D6"/>
    <w:rsid w:val="00724C59"/>
    <w:rsid w:val="007378A3"/>
    <w:rsid w:val="00746EA2"/>
    <w:rsid w:val="0076423F"/>
    <w:rsid w:val="00767DC4"/>
    <w:rsid w:val="0078462C"/>
    <w:rsid w:val="00792CC8"/>
    <w:rsid w:val="007C1257"/>
    <w:rsid w:val="007D2DD5"/>
    <w:rsid w:val="007E568E"/>
    <w:rsid w:val="007F3018"/>
    <w:rsid w:val="007F5FAC"/>
    <w:rsid w:val="007F623C"/>
    <w:rsid w:val="00800281"/>
    <w:rsid w:val="00805890"/>
    <w:rsid w:val="00811AF2"/>
    <w:rsid w:val="008320B6"/>
    <w:rsid w:val="008413E5"/>
    <w:rsid w:val="00847C51"/>
    <w:rsid w:val="00850EAF"/>
    <w:rsid w:val="00857454"/>
    <w:rsid w:val="0087150C"/>
    <w:rsid w:val="00875B56"/>
    <w:rsid w:val="008771A4"/>
    <w:rsid w:val="00885C8D"/>
    <w:rsid w:val="008910C7"/>
    <w:rsid w:val="00895F71"/>
    <w:rsid w:val="008A18C4"/>
    <w:rsid w:val="008A756C"/>
    <w:rsid w:val="008B1278"/>
    <w:rsid w:val="008B55F9"/>
    <w:rsid w:val="008B67BD"/>
    <w:rsid w:val="008C5045"/>
    <w:rsid w:val="008D0011"/>
    <w:rsid w:val="008D61A6"/>
    <w:rsid w:val="008D630C"/>
    <w:rsid w:val="008F79D9"/>
    <w:rsid w:val="008F7D42"/>
    <w:rsid w:val="00915FFE"/>
    <w:rsid w:val="00917F3C"/>
    <w:rsid w:val="00922D95"/>
    <w:rsid w:val="00927FC5"/>
    <w:rsid w:val="00930FE9"/>
    <w:rsid w:val="00931387"/>
    <w:rsid w:val="00935CD7"/>
    <w:rsid w:val="009361A6"/>
    <w:rsid w:val="00936CC3"/>
    <w:rsid w:val="00951F5D"/>
    <w:rsid w:val="0097095D"/>
    <w:rsid w:val="00972274"/>
    <w:rsid w:val="00973621"/>
    <w:rsid w:val="00980666"/>
    <w:rsid w:val="00987822"/>
    <w:rsid w:val="009953C2"/>
    <w:rsid w:val="009A6318"/>
    <w:rsid w:val="009B3E9D"/>
    <w:rsid w:val="009D2F15"/>
    <w:rsid w:val="009E1132"/>
    <w:rsid w:val="00A01C02"/>
    <w:rsid w:val="00A02C8E"/>
    <w:rsid w:val="00A15604"/>
    <w:rsid w:val="00A1797F"/>
    <w:rsid w:val="00A2097F"/>
    <w:rsid w:val="00A21D52"/>
    <w:rsid w:val="00A44BBF"/>
    <w:rsid w:val="00A52B66"/>
    <w:rsid w:val="00A620EB"/>
    <w:rsid w:val="00A7064A"/>
    <w:rsid w:val="00A75FF4"/>
    <w:rsid w:val="00A9065E"/>
    <w:rsid w:val="00AB08F6"/>
    <w:rsid w:val="00AB7F2A"/>
    <w:rsid w:val="00AC5C46"/>
    <w:rsid w:val="00AD6A0C"/>
    <w:rsid w:val="00AE48BF"/>
    <w:rsid w:val="00AE756E"/>
    <w:rsid w:val="00AE763F"/>
    <w:rsid w:val="00B00D75"/>
    <w:rsid w:val="00B055A4"/>
    <w:rsid w:val="00B0610F"/>
    <w:rsid w:val="00B23EBE"/>
    <w:rsid w:val="00B2578A"/>
    <w:rsid w:val="00B2755B"/>
    <w:rsid w:val="00B3225F"/>
    <w:rsid w:val="00B33C0A"/>
    <w:rsid w:val="00B36000"/>
    <w:rsid w:val="00B445EF"/>
    <w:rsid w:val="00B4600E"/>
    <w:rsid w:val="00B511A6"/>
    <w:rsid w:val="00B57D71"/>
    <w:rsid w:val="00B64D93"/>
    <w:rsid w:val="00B70F44"/>
    <w:rsid w:val="00B722AE"/>
    <w:rsid w:val="00B74772"/>
    <w:rsid w:val="00B7742E"/>
    <w:rsid w:val="00B8250B"/>
    <w:rsid w:val="00BB35D7"/>
    <w:rsid w:val="00BB5C07"/>
    <w:rsid w:val="00BC190C"/>
    <w:rsid w:val="00BD4913"/>
    <w:rsid w:val="00BD6B12"/>
    <w:rsid w:val="00BE03D8"/>
    <w:rsid w:val="00BF3213"/>
    <w:rsid w:val="00BF3342"/>
    <w:rsid w:val="00C248D3"/>
    <w:rsid w:val="00C27338"/>
    <w:rsid w:val="00C31C8C"/>
    <w:rsid w:val="00C3661B"/>
    <w:rsid w:val="00C5740D"/>
    <w:rsid w:val="00C65E18"/>
    <w:rsid w:val="00C70846"/>
    <w:rsid w:val="00C764F4"/>
    <w:rsid w:val="00C95C4F"/>
    <w:rsid w:val="00CC1321"/>
    <w:rsid w:val="00CC17DB"/>
    <w:rsid w:val="00CC7CCA"/>
    <w:rsid w:val="00CD43C0"/>
    <w:rsid w:val="00CE0F36"/>
    <w:rsid w:val="00CE5DE0"/>
    <w:rsid w:val="00D30570"/>
    <w:rsid w:val="00D30C4D"/>
    <w:rsid w:val="00D34F2B"/>
    <w:rsid w:val="00D50D18"/>
    <w:rsid w:val="00D53131"/>
    <w:rsid w:val="00D551A1"/>
    <w:rsid w:val="00D57F05"/>
    <w:rsid w:val="00D63285"/>
    <w:rsid w:val="00D6332A"/>
    <w:rsid w:val="00D67E4A"/>
    <w:rsid w:val="00D82C63"/>
    <w:rsid w:val="00D95D77"/>
    <w:rsid w:val="00DB0E8E"/>
    <w:rsid w:val="00DB607A"/>
    <w:rsid w:val="00DB7C44"/>
    <w:rsid w:val="00DD3CD7"/>
    <w:rsid w:val="00DD5223"/>
    <w:rsid w:val="00E014E3"/>
    <w:rsid w:val="00E04D11"/>
    <w:rsid w:val="00E057BB"/>
    <w:rsid w:val="00E062A9"/>
    <w:rsid w:val="00E1495A"/>
    <w:rsid w:val="00E25505"/>
    <w:rsid w:val="00E25FAC"/>
    <w:rsid w:val="00E367B6"/>
    <w:rsid w:val="00E47A78"/>
    <w:rsid w:val="00E510A4"/>
    <w:rsid w:val="00E55900"/>
    <w:rsid w:val="00E627EB"/>
    <w:rsid w:val="00E80E7E"/>
    <w:rsid w:val="00E82F75"/>
    <w:rsid w:val="00E86F9D"/>
    <w:rsid w:val="00E92880"/>
    <w:rsid w:val="00E93F5B"/>
    <w:rsid w:val="00EA36EC"/>
    <w:rsid w:val="00EB74B4"/>
    <w:rsid w:val="00ED09C3"/>
    <w:rsid w:val="00ED0CF0"/>
    <w:rsid w:val="00ED1E21"/>
    <w:rsid w:val="00EE0351"/>
    <w:rsid w:val="00F13FB1"/>
    <w:rsid w:val="00F16222"/>
    <w:rsid w:val="00F37028"/>
    <w:rsid w:val="00F457B7"/>
    <w:rsid w:val="00F627C0"/>
    <w:rsid w:val="00F77174"/>
    <w:rsid w:val="00F9064C"/>
    <w:rsid w:val="00F94171"/>
    <w:rsid w:val="00FC61E5"/>
    <w:rsid w:val="00FD0CA1"/>
    <w:rsid w:val="00FD7CA7"/>
    <w:rsid w:val="00FF536F"/>
    <w:rsid w:val="00FF7D2F"/>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879149"/>
  <w15:chartTrackingRefBased/>
  <w15:docId w15:val="{492F678E-DD0F-4E68-9BB1-1F9468B0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C1307"/>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148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B3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3FD9"/>
    <w:rPr>
      <w:color w:val="0563C1" w:themeColor="hyperlink"/>
      <w:u w:val="single"/>
    </w:rPr>
  </w:style>
  <w:style w:type="character" w:styleId="UnresolvedMention">
    <w:name w:val="Unresolved Mention"/>
    <w:basedOn w:val="DefaultParagraphFont"/>
    <w:uiPriority w:val="99"/>
    <w:semiHidden/>
    <w:unhideWhenUsed/>
    <w:rsid w:val="001B3FD9"/>
    <w:rPr>
      <w:color w:val="605E5C"/>
      <w:shd w:val="clear" w:color="auto" w:fill="E1DFDD"/>
    </w:rPr>
  </w:style>
  <w:style w:type="paragraph" w:styleId="BalloonText">
    <w:name w:val="Balloon Text"/>
    <w:basedOn w:val="Normal"/>
    <w:link w:val="BalloonTextChar"/>
    <w:uiPriority w:val="99"/>
    <w:semiHidden/>
    <w:unhideWhenUsed/>
    <w:rsid w:val="00616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F04"/>
    <w:rPr>
      <w:rFonts w:ascii="Segoe UI" w:hAnsi="Segoe UI" w:cs="Segoe UI"/>
      <w:sz w:val="18"/>
      <w:szCs w:val="18"/>
    </w:rPr>
  </w:style>
  <w:style w:type="character" w:styleId="Emphasis">
    <w:name w:val="Emphasis"/>
    <w:basedOn w:val="DefaultParagraphFont"/>
    <w:uiPriority w:val="20"/>
    <w:qFormat/>
    <w:rsid w:val="00C27338"/>
    <w:rPr>
      <w:i/>
      <w:iCs/>
    </w:rPr>
  </w:style>
  <w:style w:type="paragraph" w:styleId="Header">
    <w:name w:val="header"/>
    <w:basedOn w:val="Normal"/>
    <w:link w:val="HeaderChar"/>
    <w:uiPriority w:val="99"/>
    <w:unhideWhenUsed/>
    <w:rsid w:val="003F7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BF"/>
  </w:style>
  <w:style w:type="paragraph" w:styleId="Footer">
    <w:name w:val="footer"/>
    <w:basedOn w:val="Normal"/>
    <w:link w:val="FooterChar"/>
    <w:uiPriority w:val="99"/>
    <w:unhideWhenUsed/>
    <w:rsid w:val="003F7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BF"/>
  </w:style>
  <w:style w:type="paragraph" w:styleId="CommentText">
    <w:name w:val="annotation text"/>
    <w:basedOn w:val="Normal"/>
    <w:link w:val="CommentTextChar"/>
    <w:uiPriority w:val="99"/>
    <w:unhideWhenUsed/>
    <w:rsid w:val="00B055A4"/>
    <w:pPr>
      <w:spacing w:line="240" w:lineRule="auto"/>
    </w:pPr>
    <w:rPr>
      <w:sz w:val="20"/>
      <w:szCs w:val="20"/>
    </w:rPr>
  </w:style>
  <w:style w:type="character" w:customStyle="1" w:styleId="CommentTextChar">
    <w:name w:val="Comment Text Char"/>
    <w:basedOn w:val="DefaultParagraphFont"/>
    <w:link w:val="CommentText"/>
    <w:uiPriority w:val="99"/>
    <w:rsid w:val="00B055A4"/>
    <w:rPr>
      <w:sz w:val="20"/>
      <w:szCs w:val="20"/>
    </w:rPr>
  </w:style>
  <w:style w:type="character" w:styleId="CommentReference">
    <w:name w:val="annotation reference"/>
    <w:basedOn w:val="DefaultParagraphFont"/>
    <w:uiPriority w:val="99"/>
    <w:semiHidden/>
    <w:unhideWhenUsed/>
    <w:rsid w:val="00B055A4"/>
    <w:rPr>
      <w:sz w:val="16"/>
      <w:szCs w:val="16"/>
    </w:rPr>
  </w:style>
  <w:style w:type="paragraph" w:styleId="CommentSubject">
    <w:name w:val="annotation subject"/>
    <w:basedOn w:val="CommentText"/>
    <w:next w:val="CommentText"/>
    <w:link w:val="CommentSubjectChar"/>
    <w:uiPriority w:val="99"/>
    <w:semiHidden/>
    <w:unhideWhenUsed/>
    <w:rsid w:val="00D50D18"/>
    <w:rPr>
      <w:b/>
      <w:bCs/>
    </w:rPr>
  </w:style>
  <w:style w:type="character" w:customStyle="1" w:styleId="CommentSubjectChar">
    <w:name w:val="Comment Subject Char"/>
    <w:basedOn w:val="CommentTextChar"/>
    <w:link w:val="CommentSubject"/>
    <w:uiPriority w:val="99"/>
    <w:semiHidden/>
    <w:rsid w:val="00D50D18"/>
    <w:rPr>
      <w:b/>
      <w:bCs/>
      <w:sz w:val="20"/>
      <w:szCs w:val="20"/>
    </w:rPr>
  </w:style>
  <w:style w:type="paragraph" w:styleId="ListParagraph">
    <w:name w:val="List Paragraph"/>
    <w:basedOn w:val="Normal"/>
    <w:uiPriority w:val="34"/>
    <w:qFormat/>
    <w:rsid w:val="00316CF3"/>
    <w:pPr>
      <w:spacing w:after="0" w:line="240" w:lineRule="auto"/>
      <w:ind w:left="720"/>
    </w:pPr>
    <w:rPr>
      <w:rFonts w:ascii="Calibri" w:hAnsi="Calibri" w:cs="Times New Roman"/>
      <w:lang w:eastAsia="en-CA"/>
    </w:rPr>
  </w:style>
  <w:style w:type="paragraph" w:styleId="NormalWeb">
    <w:name w:val="Normal (Web)"/>
    <w:basedOn w:val="Normal"/>
    <w:uiPriority w:val="99"/>
    <w:unhideWhenUsed/>
    <w:rsid w:val="00850EAF"/>
    <w:pPr>
      <w:spacing w:before="100" w:beforeAutospacing="1" w:after="100" w:afterAutospacing="1" w:line="240" w:lineRule="auto"/>
    </w:pPr>
    <w:rPr>
      <w:rFonts w:ascii="Calibri" w:hAnsi="Calibri" w:cs="Times New Roman"/>
      <w:lang w:eastAsia="en-CA"/>
    </w:rPr>
  </w:style>
  <w:style w:type="character" w:styleId="PageNumber">
    <w:name w:val="page number"/>
    <w:basedOn w:val="DefaultParagraphFont"/>
    <w:uiPriority w:val="99"/>
    <w:semiHidden/>
    <w:unhideWhenUsed/>
    <w:rsid w:val="006B1734"/>
  </w:style>
  <w:style w:type="paragraph" w:styleId="Revision">
    <w:name w:val="Revision"/>
    <w:hidden/>
    <w:uiPriority w:val="99"/>
    <w:semiHidden/>
    <w:rsid w:val="004D45C4"/>
    <w:pPr>
      <w:spacing w:after="0" w:line="240" w:lineRule="auto"/>
    </w:pPr>
  </w:style>
  <w:style w:type="character" w:customStyle="1" w:styleId="Heading2Char">
    <w:name w:val="Heading 2 Char"/>
    <w:basedOn w:val="DefaultParagraphFont"/>
    <w:link w:val="Heading2"/>
    <w:uiPriority w:val="9"/>
    <w:rsid w:val="005C1307"/>
    <w:rPr>
      <w:rFonts w:ascii="Times New Roman" w:eastAsia="Times New Roman" w:hAnsi="Times New Roman" w:cs="Times New Roman"/>
      <w:b/>
      <w:bCs/>
      <w:sz w:val="36"/>
      <w:szCs w:val="36"/>
      <w:lang w:eastAsia="en-CA"/>
    </w:rPr>
  </w:style>
  <w:style w:type="character" w:styleId="Strong">
    <w:name w:val="Strong"/>
    <w:basedOn w:val="DefaultParagraphFont"/>
    <w:uiPriority w:val="22"/>
    <w:qFormat/>
    <w:rsid w:val="005C1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22413">
      <w:bodyDiv w:val="1"/>
      <w:marLeft w:val="0"/>
      <w:marRight w:val="0"/>
      <w:marTop w:val="0"/>
      <w:marBottom w:val="0"/>
      <w:divBdr>
        <w:top w:val="none" w:sz="0" w:space="0" w:color="auto"/>
        <w:left w:val="none" w:sz="0" w:space="0" w:color="auto"/>
        <w:bottom w:val="none" w:sz="0" w:space="0" w:color="auto"/>
        <w:right w:val="none" w:sz="0" w:space="0" w:color="auto"/>
      </w:divBdr>
    </w:div>
    <w:div w:id="798305943">
      <w:bodyDiv w:val="1"/>
      <w:marLeft w:val="0"/>
      <w:marRight w:val="0"/>
      <w:marTop w:val="0"/>
      <w:marBottom w:val="0"/>
      <w:divBdr>
        <w:top w:val="none" w:sz="0" w:space="0" w:color="auto"/>
        <w:left w:val="none" w:sz="0" w:space="0" w:color="auto"/>
        <w:bottom w:val="none" w:sz="0" w:space="0" w:color="auto"/>
        <w:right w:val="none" w:sz="0" w:space="0" w:color="auto"/>
      </w:divBdr>
    </w:div>
    <w:div w:id="871578232">
      <w:bodyDiv w:val="1"/>
      <w:marLeft w:val="0"/>
      <w:marRight w:val="0"/>
      <w:marTop w:val="0"/>
      <w:marBottom w:val="0"/>
      <w:divBdr>
        <w:top w:val="none" w:sz="0" w:space="0" w:color="auto"/>
        <w:left w:val="none" w:sz="0" w:space="0" w:color="auto"/>
        <w:bottom w:val="none" w:sz="0" w:space="0" w:color="auto"/>
        <w:right w:val="none" w:sz="0" w:space="0" w:color="auto"/>
      </w:divBdr>
    </w:div>
    <w:div w:id="888344382">
      <w:bodyDiv w:val="1"/>
      <w:marLeft w:val="0"/>
      <w:marRight w:val="0"/>
      <w:marTop w:val="0"/>
      <w:marBottom w:val="0"/>
      <w:divBdr>
        <w:top w:val="none" w:sz="0" w:space="0" w:color="auto"/>
        <w:left w:val="none" w:sz="0" w:space="0" w:color="auto"/>
        <w:bottom w:val="none" w:sz="0" w:space="0" w:color="auto"/>
        <w:right w:val="none" w:sz="0" w:space="0" w:color="auto"/>
      </w:divBdr>
    </w:div>
    <w:div w:id="896480202">
      <w:bodyDiv w:val="1"/>
      <w:marLeft w:val="0"/>
      <w:marRight w:val="0"/>
      <w:marTop w:val="0"/>
      <w:marBottom w:val="0"/>
      <w:divBdr>
        <w:top w:val="none" w:sz="0" w:space="0" w:color="auto"/>
        <w:left w:val="none" w:sz="0" w:space="0" w:color="auto"/>
        <w:bottom w:val="none" w:sz="0" w:space="0" w:color="auto"/>
        <w:right w:val="none" w:sz="0" w:space="0" w:color="auto"/>
      </w:divBdr>
    </w:div>
    <w:div w:id="1324771351">
      <w:bodyDiv w:val="1"/>
      <w:marLeft w:val="0"/>
      <w:marRight w:val="0"/>
      <w:marTop w:val="0"/>
      <w:marBottom w:val="0"/>
      <w:divBdr>
        <w:top w:val="none" w:sz="0" w:space="0" w:color="auto"/>
        <w:left w:val="none" w:sz="0" w:space="0" w:color="auto"/>
        <w:bottom w:val="none" w:sz="0" w:space="0" w:color="auto"/>
        <w:right w:val="none" w:sz="0" w:space="0" w:color="auto"/>
      </w:divBdr>
    </w:div>
    <w:div w:id="141546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ho.int/phi/implementation/assistive_technology/great_consultation2019/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8EDBD2C28C34BB6EAF265F95F6322" ma:contentTypeVersion="13" ma:contentTypeDescription="Create a new document." ma:contentTypeScope="" ma:versionID="6def2331fd724f4c0ed39774d0a7bfc0">
  <xsd:schema xmlns:xsd="http://www.w3.org/2001/XMLSchema" xmlns:xs="http://www.w3.org/2001/XMLSchema" xmlns:p="http://schemas.microsoft.com/office/2006/metadata/properties" xmlns:ns3="e2fd699e-6d30-4c05-8e96-a56cc3ac65b3" xmlns:ns4="1ebc35e9-6b46-4924-946b-59bff4c9d2f9" targetNamespace="http://schemas.microsoft.com/office/2006/metadata/properties" ma:root="true" ma:fieldsID="0ab275b7228bd47777e74f1d62a0e17d" ns3:_="" ns4:_="">
    <xsd:import namespace="e2fd699e-6d30-4c05-8e96-a56cc3ac65b3"/>
    <xsd:import namespace="1ebc35e9-6b46-4924-946b-59bff4c9d2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d699e-6d30-4c05-8e96-a56cc3ac6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bc35e9-6b46-4924-946b-59bff4c9d2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DEE6F-51E2-4539-BF60-162B7D4B1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d699e-6d30-4c05-8e96-a56cc3ac65b3"/>
    <ds:schemaRef ds:uri="1ebc35e9-6b46-4924-946b-59bff4c9d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1C286-6EE1-434E-A4B8-5F801B3FF039}">
  <ds:schemaRefs>
    <ds:schemaRef ds:uri="http://schemas.microsoft.com/sharepoint/v3/contenttype/forms"/>
  </ds:schemaRefs>
</ds:datastoreItem>
</file>

<file path=customXml/itemProps3.xml><?xml version="1.0" encoding="utf-8"?>
<ds:datastoreItem xmlns:ds="http://schemas.openxmlformats.org/officeDocument/2006/customXml" ds:itemID="{C77E8B8D-4E7E-460C-A2E2-EA603417C3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1873</Words>
  <Characters>10678</Characters>
  <Application>Microsoft Office Word</Application>
  <DocSecurity>0</DocSecurity>
  <Lines>88</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Barratt</dc:creator>
  <cp:keywords/>
  <dc:description/>
  <cp:lastModifiedBy>Jane Barratt</cp:lastModifiedBy>
  <cp:revision>2</cp:revision>
  <dcterms:created xsi:type="dcterms:W3CDTF">2020-11-22T16:23:00Z</dcterms:created>
  <dcterms:modified xsi:type="dcterms:W3CDTF">2020-11-22T16:23:00Z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0x010100D9F8EDBD2C28C34BB6EAF265F95F6322</vt:lpwstr>
  </property>
</Properties>
</file>